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a calibration and audit in yeast and human phosphosite-mutant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284" w:lineRule="exact"/>
        <w:jc w:val="left"/>
      </w:pPr>
      <w:r>
        <w:rPr>
          <w:rFonts w:ascii="Charis SIL" w:hAnsi="Charis SIL" w:cs="Charis SIL" w:eastAsia="Charis SIL"/>
          <w:b w:val="0"/>
          <w:i w:val="0"/>
          <w:color w:val="000000"/>
          <w:sz w:val="20"/>
        </w:rPr>
        <w:t>In yeast, distance ranked sites at an area under the ROC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0.487 (0.421–0.554) on an NFAT reporter screen. Six further endpoint definitions, three using no p-value,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Two post hoc results survive, neither adjusted for multiplicity: burial has an interval above 0.5 in the fitness screen, and sequence separation has a paired difference above distance of +0.071 (+0.005 to +0.137) in the reporter screen though its own interval contains 0.5.</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therefore score each site by combining several kinds of evidence: how conserved the position is across species, the surrounding sequence, the protein domain it sits in, how exposed it is on the surface, whether it lies where two proteins touch, and how close it sits to a residue already annotated as an active site or a binding site [1–4]. That last item, proximity, is one ingredient inside a composite score. In a literature sweep completed on 11 August 2026, we located no method, database, or paper that ranks or scores sites by distance to the nearest annotated active or binding residue on its own.</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a threshold set from the average distance of twelve interacting pairs reported in the literature [5].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is the yeast precedent for prioritizing modification sites by evolutionary and structural context. Phosphorylation happens often at the surfaces where two proteins touch [9]. A model of a protein on its own — a monomer model, which is what is used here — contains no such surface, because the partner is absent. Modelling a complex requires AlphaFold-Multimer [10], and no complex model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[22] measure distance from a phosphosite to the nearest functional site directly, in paired phosphorylated and unphosphorylated structures, and relate it to mechanical strain; they report co-straining for about 5% of phosphosite–functional-site pairs. That is the same distance this paper measures, evaluated against structural response rather than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[22] measures the same distance against a structural rather than a phenotypic outcome. The nearest published work otherwise measures a different relation between residues. Huang et al. [11] found structural distance to be the single most discriminating feature for cross-talk between two modifications on the same protein, at an AUC of 0.815; that figure rests on 50 positive cross-talk pairs against 1,821 controls, and structural distance had the highest missing rate of the features they compared.</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Figure 1A).</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Supplementary Note S1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Figure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The 255 estimates are not independent, because the PAE grid cells are heavily overlapping subsets of the same sites, so those figures are a conservative bound.</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Figure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At this sample size the four fitted models cannot be told apart.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(Figure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Supplementary Table S2 and Figure 2C.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Figure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[21]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each screen's released value is doubled before use. That doubling has the meaning of a directional correction only where the column is in fact that minimum, which is not established on the 47 and 103 rows above; elsewhere in this paper the resulting endpoint is called a doubled released-column threshold for that reason.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0.487 (0.421–0.554)</w:t>
      </w:r>
      <w:r>
        <w:rPr>
          <w:rFonts w:ascii="Charis SIL" w:hAnsi="Charis SIL" w:cs="Charis SIL" w:eastAsia="Charis SIL"/>
          <w:b w:val="0"/>
          <w:i w:val="0"/>
          <w:color w:val="000000"/>
          <w:sz w:val="20"/>
        </w:rPr>
        <w:t xml:space="preserve"> on the reporter screen, where 80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3.</w:t>
      </w:r>
    </w:p>
    <w:p>
      <w:pPr>
        <w:spacing w:before="0" w:after="200" w:line="284" w:lineRule="exact"/>
        <w:jc w:val="left"/>
      </w:pPr>
      <w:r>
        <w:rPr>
          <w:rFonts w:ascii="Charis SIL" w:hAnsi="Charis SIL" w:cs="Charis SIL" w:eastAsia="Charis SIL"/>
          <w:b/>
          <w:i w:val="0"/>
          <w:color w:val="000000"/>
          <w:sz w:val="20"/>
        </w:rPr>
        <w:t>Table 3.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80</w:t>
            </w:r>
          </w:p>
        </w:tc>
        <w:tc>
          <w:tcPr>
            <w:tcW w:type="dxa" w:w="2420"/>
          </w:tcPr>
          <w:p>
            <w:pPr>
              <w:spacing w:before="0" w:after="40" w:line="208" w:lineRule="exact"/>
              <w:jc w:val="left"/>
            </w:pPr>
            <w:r>
              <w:rPr>
                <w:rFonts w:ascii="Charis SIL" w:hAnsi="Charis SIL" w:cs="Charis SIL" w:eastAsia="Charis SIL"/>
                <w:b w:val="0"/>
                <w:i w:val="0"/>
                <w:color w:val="000000"/>
                <w:sz w:val="16"/>
              </w:rPr>
              <w:t>0.487</w:t>
            </w:r>
          </w:p>
        </w:tc>
        <w:tc>
          <w:tcPr>
            <w:tcW w:type="dxa" w:w="2420"/>
          </w:tcPr>
          <w:p>
            <w:pPr>
              <w:spacing w:before="0" w:after="40" w:line="208" w:lineRule="exact"/>
              <w:jc w:val="left"/>
            </w:pPr>
            <w:r>
              <w:rPr>
                <w:rFonts w:ascii="Charis SIL" w:hAnsi="Charis SIL" w:cs="Charis SIL" w:eastAsia="Charis SIL"/>
                <w:b w:val="0"/>
                <w:i w:val="0"/>
                <w:color w:val="000000"/>
                <w:sz w:val="16"/>
              </w:rPr>
              <w:t>0.421–0.554</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a feature that uses no structure at all outranks the declared predictor, on the paired comparison rather than on its own. The smallest gap in sequence position to an eligible annotated residue gives 0.558 (0.492–0.624), an interval that contains 0.5, so it does not separate the classes on its own account. Its paired difference against distance is </w:t>
      </w:r>
      <w:r>
        <w:rPr>
          <w:rFonts w:ascii="Charis SIL" w:hAnsi="Charis SIL" w:cs="Charis SIL" w:eastAsia="Charis SIL"/>
          <w:b/>
          <w:i w:val="0"/>
          <w:color w:val="000000"/>
          <w:sz w:val="20"/>
        </w:rPr>
        <w:t>+0.071 (+0.005 to +0.137)</w:t>
      </w:r>
      <w:r>
        <w:rPr>
          <w:rFonts w:ascii="Charis SIL" w:hAnsi="Charis SIL" w:cs="Charis SIL" w:eastAsia="Charis SIL"/>
          <w:b w:val="0"/>
          <w:i w:val="0"/>
          <w:color w:val="000000"/>
          <w:sz w:val="20"/>
        </w:rPr>
        <w:t>, which excludes zero and is the only paired difference in either cohort that does. Every other comparison in both screens contains zero. Both this and the burial result above are post hoc, and neither is adjusted for the number of features and endpoints examined; they are the strongest leads here, not findings.</w:t>
      </w:r>
    </w:p>
    <w:p>
      <w:pPr>
        <w:spacing w:before="240" w:after="120" w:line="284" w:lineRule="exact"/>
        <w:jc w:val="left"/>
      </w:pPr>
      <w:r>
        <w:rPr>
          <w:rFonts w:ascii="Charis SIL" w:hAnsi="Charis SIL" w:cs="Charis SIL" w:eastAsia="Charis SIL"/>
          <w:b/>
          <w:i/>
          <w:color w:val="000000"/>
          <w:sz w:val="21"/>
        </w:rPr>
        <w:t>2.7.3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0.491 (0.391–0.590)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180 of 111,600</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48 proteins contribute any within-protein comparison at all.</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2.7.4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0.565 (0.486–0.643),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Li et al. [23],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2.7.5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is more disruptive, which puts burial upstream of both terms.</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(§2.7.3) and only 39 and 48 proteins contribute a within-protein comparison at all. What the control establishes, in the fitness screen of §2.7.4,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The declared interval covered the truth between 93.6% and 94.9% of the time, against a nominal 95% and a Monte Carlo standard error of 0.7 percentage points.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runs toward inflating the association being tested; the near-chance estimate was obtained under a design that favours the hypothesis.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Supplementary Note S3 records what was run and when.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val="0"/>
          <w:i w:val="0"/>
          <w:color w:val="000000"/>
          <w:sz w:val="20"/>
        </w:rPr>
        <w:t>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sequence and annotation features the source screen already publishes did at least as well on this cohort as geometry read off models of single proteins.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§2.7.5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[13].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[13].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[14,15],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[16,17]. Relative solvent accessibility was computed on the protein alone as Shrake–Rupley solvent-accessible surface area [18] divided by the per-residue maxima of Tien et al. [19].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[20],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[21],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240" w:after="120" w:line="284" w:lineRule="exact"/>
        <w:jc w:val="left"/>
      </w:pPr>
      <w:r>
        <w:rPr>
          <w:rFonts w:ascii="Charis SIL" w:hAnsi="Charis SIL" w:cs="Charis SIL" w:eastAsia="Charis SIL"/>
          <w:b/>
          <w:i w:val="0"/>
          <w:color w:val="000000"/>
          <w:sz w:val="25"/>
        </w:rPr>
        <w:t>Ethics statement</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5"/>
        </w:rPr>
        <w:t>Funding</w:t>
      </w:r>
    </w:p>
    <w:p>
      <w:pPr>
        <w:spacing w:before="0" w:after="200" w:line="284" w:lineRule="exact"/>
        <w:jc w:val="left"/>
      </w:pPr>
      <w:r>
        <w:rPr>
          <w:rFonts w:ascii="Charis SIL" w:hAnsi="Charis SIL" w:cs="Charis SIL" w:eastAsia="Charis SIL"/>
          <w:b w:val="0"/>
          <w:i w:val="0"/>
          <w:color w:val="000000"/>
          <w:sz w:val="20"/>
        </w:rPr>
        <w:t>No specific funding supported this secondary analysis.</w:t>
      </w:r>
    </w:p>
    <w:p>
      <w:pPr>
        <w:spacing w:before="240" w:after="120" w:line="284" w:lineRule="exact"/>
        <w:jc w:val="left"/>
      </w:pPr>
      <w:r>
        <w:rPr>
          <w:rFonts w:ascii="Charis SIL" w:hAnsi="Charis SIL" w:cs="Charis SIL" w:eastAsia="Charis SIL"/>
          <w:b/>
          <w:i w:val="0"/>
          <w:color w:val="000000"/>
          <w:sz w:val="25"/>
        </w:rPr>
        <w:t>Competing interests</w:t>
      </w:r>
    </w:p>
    <w:p>
      <w:pPr>
        <w:spacing w:before="0" w:after="200" w:line="284" w:lineRule="exact"/>
        <w:jc w:val="left"/>
      </w:pPr>
      <w:r>
        <w:rPr>
          <w:rFonts w:ascii="Charis SIL" w:hAnsi="Charis SIL" w:cs="Charis SIL" w:eastAsia="Charis SIL"/>
          <w:b w:val="0"/>
          <w:i w:val="0"/>
          <w:color w:val="000000"/>
          <w:sz w:val="20"/>
        </w:rPr>
        <w:t>The authors report no competing interests.</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Kyle Nguyen: conceptualization, data curation, formal analysis, investigation, methodology, software, validation, visualization, writing—original draft, writing—review and editing.</w:t>
      </w:r>
    </w:p>
    <w:p>
      <w:pPr>
        <w:spacing w:before="0" w:after="200" w:line="284" w:lineRule="exact"/>
        <w:jc w:val="left"/>
      </w:pPr>
      <w:r>
        <w:rPr>
          <w:rFonts w:ascii="Charis SIL" w:hAnsi="Charis SIL" w:cs="Charis SIL" w:eastAsia="Charis SIL"/>
          <w:b w:val="0"/>
          <w:i w:val="0"/>
          <w:color w:val="000000"/>
          <w:sz w:val="20"/>
        </w:rPr>
        <w:t>Arkady Marchenko: conceptualization, writing—review and editing.</w:t>
      </w:r>
    </w:p>
    <w:p>
      <w:pPr>
        <w:spacing w:before="0" w:after="200" w:line="284" w:lineRule="exact"/>
        <w:jc w:val="left"/>
      </w:pPr>
      <w:r>
        <w:rPr>
          <w:rFonts w:ascii="Charis SIL" w:hAnsi="Charis SIL" w:cs="Charis SIL" w:eastAsia="Charis SIL"/>
          <w:b w:val="0"/>
          <w:i w:val="0"/>
          <w:color w:val="000000"/>
          <w:sz w:val="20"/>
        </w:rPr>
        <w:t>Both authors have read and approved this version.</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AI disclosure statement</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240" w:after="120" w:line="284" w:lineRule="exact"/>
        <w:jc w:val="left"/>
      </w:pPr>
      <w:r>
        <w:rPr>
          <w:rFonts w:ascii="Charis SIL" w:hAnsi="Charis SIL" w:cs="Charis SIL" w:eastAsia="Charis SIL"/>
          <w:b/>
          <w:i w:val="0"/>
          <w:color w:val="000000"/>
          <w:sz w:val="25"/>
        </w:rPr>
        <w:t>Tables</w:t>
      </w:r>
    </w:p>
    <w:p>
      <w:pPr>
        <w:spacing w:before="240" w:after="120" w:line="284" w:lineRule="exact"/>
        <w:jc w:val="left"/>
      </w:pPr>
      <w:r>
        <w:rPr>
          <w:rFonts w:ascii="Charis SIL" w:hAnsi="Charis SIL" w:cs="Charis SIL" w:eastAsia="Charis SIL"/>
          <w:b/>
          <w:i w:val="0"/>
          <w:color w:val="000000"/>
          <w:sz w:val="22"/>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spacing w:before="240" w:after="120" w:line="284" w:lineRule="exact"/>
        <w:jc w:val="left"/>
      </w:pPr>
      <w:r>
        <w:rPr>
          <w:rFonts w:ascii="Charis SIL" w:hAnsi="Charis SIL" w:cs="Charis SIL" w:eastAsia="Charis SIL"/>
          <w:b/>
          <w:i w:val="0"/>
          <w:color w:val="000000"/>
          <w:sz w:val="22"/>
        </w:rPr>
        <w:t>Table 2. Selected results</w:t>
      </w:r>
    </w:p>
    <w:p>
      <w:pPr>
        <w:spacing w:before="0" w:after="200" w:line="284" w:lineRule="exact"/>
        <w:jc w:val="left"/>
      </w:pPr>
      <w:r>
        <w:rPr>
          <w:rFonts w:ascii="Charis SIL" w:hAnsi="Charis SIL" w:cs="Charis SIL" w:eastAsia="Charis SIL"/>
          <w:b w:val="0"/>
          <w:i w:val="0"/>
          <w:color w:val="000000"/>
          <w:sz w:val="20"/>
        </w:rPr>
        <w:t>Values are AUCs — the chance an affected site ranks ahead of an unaffected one — unless the row names another quantity.</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primary cohort</w:t>
            </w:r>
          </w:p>
        </w:tc>
        <w:tc>
          <w:tcPr>
            <w:tcW w:type="dxa" w:w="1936"/>
          </w:tcPr>
          <w:p>
            <w:pPr>
              <w:spacing w:before="0" w:after="40" w:line="208" w:lineRule="exact"/>
              <w:jc w:val="left"/>
            </w:pPr>
            <w:r>
              <w:rPr>
                <w:rFonts w:ascii="Charis SIL" w:hAnsi="Charis SIL" w:cs="Charis SIL" w:eastAsia="Charis SIL"/>
                <w:b w:val="0"/>
                <w:i w:val="0"/>
                <w:color w:val="000000"/>
                <w:sz w:val="16"/>
              </w:rPr>
              <w:t>163 replaced sites, 48 proteins</w:t>
            </w:r>
          </w:p>
        </w:tc>
        <w:tc>
          <w:tcPr>
            <w:tcW w:type="dxa" w:w="1936"/>
          </w:tcPr>
          <w:p>
            <w:pPr>
              <w:spacing w:before="0" w:after="40" w:line="208" w:lineRule="exact"/>
              <w:jc w:val="left"/>
            </w:pPr>
            <w:r>
              <w:rPr>
                <w:rFonts w:ascii="Charis SIL" w:hAnsi="Charis SIL" w:cs="Charis SIL" w:eastAsia="Charis SIL"/>
                <w:b w:val="0"/>
                <w:i w:val="0"/>
                <w:color w:val="000000"/>
                <w:sz w:val="16"/>
              </w:rPr>
              <w:t>0.527</w:t>
            </w:r>
          </w:p>
        </w:tc>
        <w:tc>
          <w:tcPr>
            <w:tcW w:type="dxa" w:w="1936"/>
          </w:tcPr>
          <w:p>
            <w:pPr>
              <w:spacing w:before="0" w:after="40" w:line="208" w:lineRule="exact"/>
              <w:jc w:val="left"/>
            </w:pPr>
            <w:r>
              <w:rPr>
                <w:rFonts w:ascii="Charis SIL" w:hAnsi="Charis SIL" w:cs="Charis SIL" w:eastAsia="Charis SIL"/>
                <w:b w:val="0"/>
                <w:i w:val="0"/>
                <w:color w:val="000000"/>
                <w:sz w:val="16"/>
              </w:rPr>
              <w:t>0.417–0.632</w:t>
            </w:r>
          </w:p>
        </w:tc>
        <w:tc>
          <w:tcPr>
            <w:tcW w:type="dxa" w:w="1936"/>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inclusive 0 Å cohort</w:t>
            </w:r>
          </w:p>
        </w:tc>
        <w:tc>
          <w:tcPr>
            <w:tcW w:type="dxa" w:w="1936"/>
          </w:tcPr>
          <w:p>
            <w:pPr>
              <w:spacing w:before="0" w:after="40" w:line="208" w:lineRule="exact"/>
              <w:jc w:val="left"/>
            </w:pPr>
            <w:r>
              <w:rPr>
                <w:rFonts w:ascii="Charis SIL" w:hAnsi="Charis SIL" w:cs="Charis SIL" w:eastAsia="Charis SIL"/>
                <w:b w:val="0"/>
                <w:i w:val="0"/>
                <w:color w:val="000000"/>
                <w:sz w:val="16"/>
              </w:rPr>
              <w:t>166, 50 proteins</w:t>
            </w:r>
          </w:p>
        </w:tc>
        <w:tc>
          <w:tcPr>
            <w:tcW w:type="dxa" w:w="1936"/>
          </w:tcPr>
          <w:p>
            <w:pPr>
              <w:spacing w:before="0" w:after="40" w:line="208" w:lineRule="exact"/>
              <w:jc w:val="left"/>
            </w:pPr>
            <w:r>
              <w:rPr>
                <w:rFonts w:ascii="Charis SIL" w:hAnsi="Charis SIL" w:cs="Charis SIL" w:eastAsia="Charis SIL"/>
                <w:b w:val="0"/>
                <w:i w:val="0"/>
                <w:color w:val="000000"/>
                <w:sz w:val="16"/>
              </w:rPr>
              <w:t>0.544</w:t>
            </w:r>
          </w:p>
        </w:tc>
        <w:tc>
          <w:tcPr>
            <w:tcW w:type="dxa" w:w="1936"/>
          </w:tcPr>
          <w:p>
            <w:pPr>
              <w:spacing w:before="0" w:after="40" w:line="208" w:lineRule="exact"/>
              <w:jc w:val="left"/>
            </w:pPr>
            <w:r>
              <w:rPr>
                <w:rFonts w:ascii="Charis SIL" w:hAnsi="Charis SIL" w:cs="Charis SIL" w:eastAsia="Charis SIL"/>
                <w:b w:val="0"/>
                <w:i w:val="0"/>
                <w:color w:val="000000"/>
                <w:sz w:val="16"/>
              </w:rPr>
              <w:t>0.436–0.649</w:t>
            </w:r>
          </w:p>
        </w:tc>
        <w:tc>
          <w:tcPr>
            <w:tcW w:type="dxa" w:w="1936"/>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936"/>
          </w:tcPr>
          <w:p>
            <w:pPr>
              <w:spacing w:before="0" w:after="40" w:line="208" w:lineRule="exact"/>
              <w:jc w:val="left"/>
            </w:pPr>
            <w:r>
              <w:rPr>
                <w:rFonts w:ascii="Charis SIL" w:hAnsi="Charis SIL" w:cs="Charis SIL" w:eastAsia="Charis SIL"/>
                <w:b w:val="0"/>
                <w:i w:val="0"/>
                <w:color w:val="000000"/>
                <w:sz w:val="16"/>
              </w:rPr>
              <w:t>112 replaced sites, 23 proteins, 176 pairs</w:t>
            </w:r>
          </w:p>
        </w:tc>
        <w:tc>
          <w:tcPr>
            <w:tcW w:type="dxa" w:w="1936"/>
          </w:tcPr>
          <w:p>
            <w:pPr>
              <w:spacing w:before="0" w:after="40" w:line="208" w:lineRule="exact"/>
              <w:jc w:val="left"/>
            </w:pPr>
            <w:r>
              <w:rPr>
                <w:rFonts w:ascii="Charis SIL" w:hAnsi="Charis SIL" w:cs="Charis SIL" w:eastAsia="Charis SIL"/>
                <w:b w:val="0"/>
                <w:i w:val="0"/>
                <w:color w:val="000000"/>
                <w:sz w:val="16"/>
              </w:rPr>
              <w:t>0.528</w:t>
            </w:r>
          </w:p>
        </w:tc>
        <w:tc>
          <w:tcPr>
            <w:tcW w:type="dxa" w:w="1936"/>
          </w:tcPr>
          <w:p>
            <w:pPr>
              <w:spacing w:before="0" w:after="40" w:line="208" w:lineRule="exact"/>
              <w:jc w:val="left"/>
            </w:pPr>
            <w:r>
              <w:rPr>
                <w:rFonts w:ascii="Charis SIL" w:hAnsi="Charis SIL" w:cs="Charis SIL" w:eastAsia="Charis SIL"/>
                <w:b w:val="0"/>
                <w:i w:val="0"/>
                <w:color w:val="000000"/>
                <w:sz w:val="16"/>
              </w:rPr>
              <w:t>0.368–0.709</w:t>
            </w:r>
          </w:p>
        </w:tc>
        <w:tc>
          <w:tcPr>
            <w:tcW w:type="dxa" w:w="1936"/>
          </w:tcPr>
          <w:p>
            <w:pPr>
              <w:spacing w:before="0" w:after="40" w:line="208" w:lineRule="exact"/>
              <w:jc w:val="left"/>
            </w:pPr>
            <w:r>
              <w:rPr>
                <w:rFonts w:ascii="Charis SIL" w:hAnsi="Charis SIL" w:cs="Charis SIL" w:eastAsia="Charis SIL"/>
                <w:b w:val="0"/>
                <w:i w:val="0"/>
                <w:color w:val="000000"/>
                <w:sz w:val="16"/>
              </w:rPr>
              <w:t>Designated within-protein quantity;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936"/>
          </w:tcPr>
          <w:p>
            <w:pPr>
              <w:spacing w:before="0" w:after="40" w:line="208" w:lineRule="exact"/>
              <w:jc w:val="left"/>
            </w:pPr>
            <w:r>
              <w:rPr>
                <w:rFonts w:ascii="Charis SIL" w:hAnsi="Charis SIL" w:cs="Charis SIL" w:eastAsia="Charis SIL"/>
                <w:b w:val="0"/>
                <w:i w:val="0"/>
                <w:color w:val="000000"/>
                <w:sz w:val="16"/>
              </w:rPr>
              <w:t>23 proteins</w:t>
            </w:r>
          </w:p>
        </w:tc>
        <w:tc>
          <w:tcPr>
            <w:tcW w:type="dxa" w:w="1936"/>
          </w:tcPr>
          <w:p>
            <w:pPr>
              <w:spacing w:before="0" w:after="40" w:line="208" w:lineRule="exact"/>
              <w:jc w:val="left"/>
            </w:pPr>
            <w:r>
              <w:rPr>
                <w:rFonts w:ascii="Charis SIL" w:hAnsi="Charis SIL" w:cs="Charis SIL" w:eastAsia="Charis SIL"/>
                <w:b w:val="0"/>
                <w:i w:val="0"/>
                <w:color w:val="000000"/>
                <w:sz w:val="16"/>
              </w:rPr>
              <w:t>0.497</w:t>
            </w:r>
          </w:p>
        </w:tc>
        <w:tc>
          <w:tcPr>
            <w:tcW w:type="dxa" w:w="1936"/>
          </w:tcPr>
          <w:p>
            <w:pPr>
              <w:spacing w:before="0" w:after="40" w:line="208" w:lineRule="exact"/>
              <w:jc w:val="left"/>
            </w:pPr>
            <w:r>
              <w:rPr>
                <w:rFonts w:ascii="Charis SIL" w:hAnsi="Charis SIL" w:cs="Charis SIL" w:eastAsia="Charis SIL"/>
                <w:b w:val="0"/>
                <w:i w:val="0"/>
                <w:color w:val="000000"/>
                <w:sz w:val="16"/>
              </w:rPr>
              <w:t>0.351–0.642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Minimum sequence separation to an eligible target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0.550</w:t>
            </w:r>
          </w:p>
        </w:tc>
        <w:tc>
          <w:tcPr>
            <w:tcW w:type="dxa" w:w="1936"/>
          </w:tcPr>
          <w:p>
            <w:pPr>
              <w:spacing w:before="0" w:after="40" w:line="208" w:lineRule="exact"/>
              <w:jc w:val="left"/>
            </w:pPr>
            <w:r>
              <w:rPr>
                <w:rFonts w:ascii="Charis SIL" w:hAnsi="Charis SIL" w:cs="Charis SIL" w:eastAsia="Charis SIL"/>
                <w:b w:val="0"/>
                <w:i w:val="0"/>
                <w:color w:val="000000"/>
                <w:sz w:val="16"/>
              </w:rPr>
              <w:t>0.434–0.653</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0.489–0.672</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Label shuffling across the whole cohort, two-sided </w:t>
            </w:r>
            <w:r>
              <w:rPr>
                <w:rFonts w:ascii="Charis SIL" w:hAnsi="Charis SIL" w:cs="Charis SIL" w:eastAsia="Charis SIL"/>
                <w:b w:val="0"/>
                <w:i/>
                <w:color w:val="000000"/>
                <w:sz w:val="16"/>
              </w:rPr>
              <w:t>p</w:t>
            </w:r>
          </w:p>
        </w:tc>
        <w:tc>
          <w:tcPr>
            <w:tcW w:type="dxa" w:w="1936"/>
          </w:tcPr>
          <w:p>
            <w:pPr>
              <w:spacing w:before="0" w:after="40" w:line="208" w:lineRule="exact"/>
              <w:jc w:val="left"/>
            </w:pPr>
            <w:r>
              <w:rPr>
                <w:rFonts w:ascii="Charis SIL" w:hAnsi="Charis SIL" w:cs="Charis SIL" w:eastAsia="Charis SIL"/>
                <w:b w:val="0"/>
                <w:i w:val="0"/>
                <w:color w:val="000000"/>
                <w:sz w:val="16"/>
              </w:rPr>
              <w:t>163; 20,000 permutations</w:t>
            </w:r>
          </w:p>
        </w:tc>
        <w:tc>
          <w:tcPr>
            <w:tcW w:type="dxa" w:w="1936"/>
          </w:tcPr>
          <w:p>
            <w:pPr>
              <w:spacing w:before="0" w:after="40" w:line="208" w:lineRule="exact"/>
              <w:jc w:val="left"/>
            </w:pPr>
            <w:r>
              <w:rPr>
                <w:rFonts w:ascii="Charis SIL" w:hAnsi="Charis SIL" w:cs="Charis SIL" w:eastAsia="Charis SIL"/>
                <w:b w:val="0"/>
                <w:i w:val="0"/>
                <w:color w:val="000000"/>
                <w:sz w:val="16"/>
              </w:rPr>
              <w:t>0.55</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Post hoc null</w:t>
            </w:r>
          </w:p>
        </w:tc>
      </w:tr>
      <w:tr>
        <w:tc>
          <w:tcPr>
            <w:tcW w:type="dxa" w:w="1936"/>
          </w:tcPr>
          <w:p>
            <w:pPr>
              <w:spacing w:before="0" w:after="40" w:line="208" w:lineRule="exact"/>
              <w:jc w:val="left"/>
            </w:pPr>
            <w:r>
              <w:rPr>
                <w:rFonts w:ascii="Charis SIL" w:hAnsi="Charis SIL" w:cs="Charis SIL" w:eastAsia="Charis SIL"/>
                <w:b w:val="0"/>
                <w:i w:val="0"/>
                <w:color w:val="000000"/>
                <w:sz w:val="16"/>
              </w:rPr>
              <w:t>SIFT, primary common support</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0.606</w:t>
            </w:r>
          </w:p>
        </w:tc>
        <w:tc>
          <w:tcPr>
            <w:tcW w:type="dxa" w:w="1936"/>
          </w:tcPr>
          <w:p>
            <w:pPr>
              <w:spacing w:before="0" w:after="40" w:line="208" w:lineRule="exact"/>
              <w:jc w:val="left"/>
            </w:pPr>
            <w:r>
              <w:rPr>
                <w:rFonts w:ascii="Charis SIL" w:hAnsi="Charis SIL" w:cs="Charis SIL" w:eastAsia="Charis SIL"/>
                <w:b w:val="0"/>
                <w:i w:val="0"/>
                <w:color w:val="000000"/>
                <w:sz w:val="16"/>
              </w:rPr>
              <w:t>0.522–0.690</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i w:val="0"/>
                <w:color w:val="000000"/>
                <w:sz w:val="16"/>
              </w:rPr>
              <w:t>Difference in AUC</w:t>
            </w:r>
            <w:r>
              <w:rPr>
                <w:rFonts w:ascii="Charis SIL" w:hAnsi="Charis SIL" w:cs="Charis SIL" w:eastAsia="Charis SIL"/>
                <w:b w:val="0"/>
                <w:i w:val="0"/>
                <w:color w:val="000000"/>
                <w:sz w:val="16"/>
              </w:rPr>
              <w:t>, SIFT minus distance, paired</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0.074</w:t>
            </w:r>
          </w:p>
        </w:tc>
        <w:tc>
          <w:tcPr>
            <w:tcW w:type="dxa" w:w="1936"/>
          </w:tcPr>
          <w:p>
            <w:pPr>
              <w:spacing w:before="0" w:after="40" w:line="208" w:lineRule="exact"/>
              <w:jc w:val="left"/>
            </w:pPr>
            <w:r>
              <w:rPr>
                <w:rFonts w:ascii="Charis SIL" w:hAnsi="Charis SIL" w:cs="Charis SIL" w:eastAsia="Charis SIL"/>
                <w:b w:val="0"/>
                <w:i w:val="0"/>
                <w:color w:val="000000"/>
                <w:sz w:val="16"/>
              </w:rPr>
              <w:t>−0.037 to 0.192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0.77</w:t>
            </w:r>
          </w:p>
        </w:tc>
        <w:tc>
          <w:tcPr>
            <w:tcW w:type="dxa" w:w="1936"/>
          </w:tcPr>
          <w:p>
            <w:pPr>
              <w:spacing w:before="0" w:after="40" w:line="208" w:lineRule="exact"/>
              <w:jc w:val="left"/>
            </w:pPr>
            <w:r>
              <w:rPr>
                <w:rFonts w:ascii="Charis SIL" w:hAnsi="Charis SIL" w:cs="Charis SIL" w:eastAsia="Charis SIL"/>
                <w:b w:val="0"/>
                <w:i w:val="0"/>
                <w:color w:val="000000"/>
                <w:sz w:val="16"/>
              </w:rPr>
              <w:t>0.27–2.21</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site pLDDT and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1.31</w:t>
            </w:r>
          </w:p>
        </w:tc>
        <w:tc>
          <w:tcPr>
            <w:tcW w:type="dxa" w:w="1936"/>
          </w:tcPr>
          <w:p>
            <w:pPr>
              <w:spacing w:before="0" w:after="40" w:line="208" w:lineRule="exact"/>
              <w:jc w:val="left"/>
            </w:pPr>
            <w:r>
              <w:rPr>
                <w:rFonts w:ascii="Charis SIL" w:hAnsi="Charis SIL" w:cs="Charis SIL" w:eastAsia="Charis SIL"/>
                <w:b w:val="0"/>
                <w:i w:val="0"/>
                <w:color w:val="000000"/>
                <w:sz w:val="16"/>
              </w:rPr>
              <w:t>0.37–4.66</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minimum: both pLDDT ≥70,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41</w:t>
            </w:r>
          </w:p>
        </w:tc>
        <w:tc>
          <w:tcPr>
            <w:tcW w:type="dxa" w:w="1936"/>
          </w:tcPr>
          <w:p>
            <w:pPr>
              <w:spacing w:before="0" w:after="40" w:line="208" w:lineRule="exact"/>
              <w:jc w:val="left"/>
            </w:pPr>
            <w:r>
              <w:rPr>
                <w:rFonts w:ascii="Charis SIL" w:hAnsi="Charis SIL" w:cs="Charis SIL" w:eastAsia="Charis SIL"/>
                <w:b w:val="0"/>
                <w:i w:val="0"/>
                <w:color w:val="000000"/>
                <w:sz w:val="16"/>
              </w:rPr>
              <w:t>0.416</w:t>
            </w:r>
          </w:p>
        </w:tc>
        <w:tc>
          <w:tcPr>
            <w:tcW w:type="dxa" w:w="1936"/>
          </w:tcPr>
          <w:p>
            <w:pPr>
              <w:spacing w:before="0" w:after="40" w:line="208" w:lineRule="exact"/>
              <w:jc w:val="left"/>
            </w:pPr>
            <w:r>
              <w:rPr>
                <w:rFonts w:ascii="Charis SIL" w:hAnsi="Charis SIL" w:cs="Charis SIL" w:eastAsia="Charis SIL"/>
                <w:b w:val="0"/>
                <w:i w:val="0"/>
                <w:color w:val="000000"/>
                <w:sz w:val="16"/>
              </w:rPr>
              <w:t>0.192–0.617</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an 11-stratum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maximum: both pLDDT ≥90,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27</w:t>
            </w:r>
          </w:p>
        </w:tc>
        <w:tc>
          <w:tcPr>
            <w:tcW w:type="dxa" w:w="1936"/>
          </w:tcPr>
          <w:p>
            <w:pPr>
              <w:spacing w:before="0" w:after="40" w:line="208" w:lineRule="exact"/>
              <w:jc w:val="left"/>
            </w:pPr>
            <w:r>
              <w:rPr>
                <w:rFonts w:ascii="Charis SIL" w:hAnsi="Charis SIL" w:cs="Charis SIL" w:eastAsia="Charis SIL"/>
                <w:b w:val="0"/>
                <w:i w:val="0"/>
                <w:color w:val="000000"/>
                <w:sz w:val="16"/>
              </w:rPr>
              <w:t>0.683</w:t>
            </w:r>
          </w:p>
        </w:tc>
        <w:tc>
          <w:tcPr>
            <w:tcW w:type="dxa" w:w="1936"/>
          </w:tcPr>
          <w:p>
            <w:pPr>
              <w:spacing w:before="0" w:after="40" w:line="208" w:lineRule="exact"/>
              <w:jc w:val="left"/>
            </w:pPr>
            <w:r>
              <w:rPr>
                <w:rFonts w:ascii="Charis SIL" w:hAnsi="Charis SIL" w:cs="Charis SIL" w:eastAsia="Charis SIL"/>
                <w:b w:val="0"/>
                <w:i w:val="0"/>
                <w:color w:val="000000"/>
                <w:sz w:val="16"/>
              </w:rPr>
              <w:t>0.481–0.864</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the same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936"/>
          </w:tcPr>
          <w:p>
            <w:pPr>
              <w:spacing w:before="0" w:after="40" w:line="208" w:lineRule="exact"/>
              <w:jc w:val="left"/>
            </w:pPr>
            <w:r>
              <w:rPr>
                <w:rFonts w:ascii="Charis SIL" w:hAnsi="Charis SIL" w:cs="Charis SIL" w:eastAsia="Charis SIL"/>
                <w:b w:val="0"/>
                <w:i w:val="0"/>
                <w:color w:val="000000"/>
                <w:sz w:val="16"/>
              </w:rPr>
              <w:t>24 replaced sites, 7 proteins</w:t>
            </w:r>
          </w:p>
        </w:tc>
        <w:tc>
          <w:tcPr>
            <w:tcW w:type="dxa" w:w="1936"/>
          </w:tcPr>
          <w:p>
            <w:pPr>
              <w:spacing w:before="0" w:after="40" w:line="208" w:lineRule="exact"/>
              <w:jc w:val="left"/>
            </w:pPr>
            <w:r>
              <w:rPr>
                <w:rFonts w:ascii="Charis SIL" w:hAnsi="Charis SIL" w:cs="Charis SIL" w:eastAsia="Charis SIL"/>
                <w:b w:val="0"/>
                <w:i w:val="0"/>
                <w:color w:val="000000"/>
                <w:sz w:val="16"/>
              </w:rPr>
              <w:t>0.420</w:t>
            </w:r>
          </w:p>
        </w:tc>
        <w:tc>
          <w:tcPr>
            <w:tcW w:type="dxa" w:w="1936"/>
          </w:tcPr>
          <w:p>
            <w:pPr>
              <w:spacing w:before="0" w:after="40" w:line="208" w:lineRule="exact"/>
              <w:jc w:val="left"/>
            </w:pPr>
            <w:r>
              <w:rPr>
                <w:rFonts w:ascii="Charis SIL" w:hAnsi="Charis SIL" w:cs="Charis SIL" w:eastAsia="Charis SIL"/>
                <w:b w:val="0"/>
                <w:i w:val="0"/>
                <w:color w:val="000000"/>
                <w:sz w:val="16"/>
              </w:rPr>
              <w:t>0.244–0.708</w:t>
            </w:r>
          </w:p>
        </w:tc>
        <w:tc>
          <w:tcPr>
            <w:tcW w:type="dxa" w:w="1936"/>
          </w:tcPr>
          <w:p>
            <w:pPr>
              <w:spacing w:before="0" w:after="40" w:line="208" w:lineRule="exact"/>
              <w:jc w:val="left"/>
            </w:pPr>
            <w:r>
              <w:rPr>
                <w:rFonts w:ascii="Charis SIL" w:hAnsi="Charis SIL" w:cs="Charis SIL" w:eastAsia="Charis SIL"/>
                <w:b w:val="0"/>
                <w:i w:val="0"/>
                <w:color w:val="000000"/>
                <w:sz w:val="16"/>
              </w:rPr>
              <w:t>Descriptive range on 7 proteins; 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first two intervals use 200,000 protein-cluster resamples at seed 20260729; every other bootstrap interval uses 20,000 resamples at seed 20260728, so the endpoints for one point estimate differ in the third decimal between the two conventions. All 11 strata of the confidence family, in both cohort versions, are in the supplement and in Figure 2C.</w:t>
      </w:r>
    </w:p>
    <w:p>
      <w:pPr>
        <w:spacing w:before="240" w:after="120" w:line="284" w:lineRule="exact"/>
        <w:jc w:val="left"/>
      </w:pPr>
      <w:r>
        <w:rPr>
          <w:rFonts w:ascii="Charis SIL" w:hAnsi="Charis SIL" w:cs="Charis SIL" w:eastAsia="Charis SIL"/>
          <w:b/>
          <w:i w:val="0"/>
          <w:color w:val="000000"/>
          <w:sz w:val="25"/>
        </w:rPr>
        <w:t>Figure legends</w:t>
      </w:r>
    </w:p>
    <w:p>
      <w:pPr>
        <w:spacing w:before="0" w:after="200" w:line="284" w:lineRule="exact"/>
        <w:jc w:val="left"/>
      </w:pPr>
      <w:r>
        <w:rPr>
          <w:rFonts w:ascii="Charis SIL" w:hAnsi="Charis SIL" w:cs="Charis SIL" w:eastAsia="Charis SIL"/>
          <w:b/>
          <w:i w:val="0"/>
          <w:color w:val="000000"/>
          <w:sz w:val="20"/>
        </w:rPr>
        <w:t>Figure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i w:val="0"/>
          <w:color w:val="000000"/>
          <w:sz w:val="20"/>
        </w:rPr>
        <w:t>Figure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 xml:space="preserve">Viéitez C, Busby BP, Ochoa D, et al. High-throughput functional characterization of protein phosphorylation sites in yeast.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2022;40:382–390. doi:10.1038/s41587-021-01051-x.</w:t>
      </w:r>
    </w:p>
    <w:p>
      <w:pPr>
        <w:pStyle w:val="ListNumber"/>
        <w:spacing w:before="0" w:after="60" w:line="284" w:lineRule="exact"/>
        <w:jc w:val="left"/>
      </w:pPr>
      <w:r>
        <w:rPr>
          <w:rFonts w:ascii="Charis SIL" w:hAnsi="Charis SIL" w:cs="Charis SIL" w:eastAsia="Charis SIL"/>
          <w:b w:val="0"/>
          <w:i w:val="0"/>
          <w:color w:val="000000"/>
          <w:sz w:val="20"/>
        </w:rPr>
        <w:t xml:space="preserve">Strumillo MJ, Oplová M, Viéitez C, et al. Conserved phosphorylation hotspots in eukaryotic protein domain families.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2019;10:1977. doi:10.1038/s41467-019-09952-x.</w:t>
      </w:r>
    </w:p>
    <w:p>
      <w:pPr>
        <w:pStyle w:val="ListNumber"/>
        <w:spacing w:before="0" w:after="60" w:line="284" w:lineRule="exact"/>
        <w:jc w:val="left"/>
      </w:pPr>
      <w:r>
        <w:rPr>
          <w:rFonts w:ascii="Charis SIL" w:hAnsi="Charis SIL" w:cs="Charis SIL" w:eastAsia="Charis SIL"/>
          <w:b w:val="0"/>
          <w:i w:val="0"/>
          <w:color w:val="000000"/>
          <w:sz w:val="20"/>
        </w:rPr>
        <w:t xml:space="preserve">Ochoa D, Jarnuczak AF, Viéitez C, et al. The functional landscape of the human phosphoproteome.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2020;38:365–373. doi:10.1038/s41587-019-0344-3.</w:t>
      </w:r>
    </w:p>
    <w:p>
      <w:pPr>
        <w:pStyle w:val="ListNumber"/>
        <w:spacing w:before="0" w:after="60" w:line="284" w:lineRule="exact"/>
        <w:jc w:val="left"/>
      </w:pPr>
      <w:r>
        <w:rPr>
          <w:rFonts w:ascii="Charis SIL" w:hAnsi="Charis SIL" w:cs="Charis SIL" w:eastAsia="Charis SIL"/>
          <w:b w:val="0"/>
          <w:i w:val="0"/>
          <w:color w:val="000000"/>
          <w:sz w:val="20"/>
        </w:rPr>
        <w:t xml:space="preserve">Bludau I, Willems S, Zeng W-F, et al. The structural context of posttranslational modifications at a proteome-wide scale. </w:t>
      </w:r>
      <w:r>
        <w:rPr>
          <w:rFonts w:ascii="Charis SIL" w:hAnsi="Charis SIL" w:cs="Charis SIL" w:eastAsia="Charis SIL"/>
          <w:b w:val="0"/>
          <w:i/>
          <w:color w:val="000000"/>
          <w:sz w:val="20"/>
        </w:rPr>
        <w:t>PLoS Biology</w:t>
      </w:r>
      <w:r>
        <w:rPr>
          <w:rFonts w:ascii="Charis SIL" w:hAnsi="Charis SIL" w:cs="Charis SIL" w:eastAsia="Charis SIL"/>
          <w:b w:val="0"/>
          <w:i w:val="0"/>
          <w:color w:val="000000"/>
          <w:sz w:val="20"/>
        </w:rPr>
        <w:t>. 2022;20:e3001636. doi:10.1371/journal.pbio.3001636.</w:t>
      </w:r>
    </w:p>
    <w:p>
      <w:pPr>
        <w:pStyle w:val="ListNumber"/>
        <w:spacing w:before="0" w:after="60" w:line="284" w:lineRule="exact"/>
        <w:jc w:val="left"/>
      </w:pPr>
      <w:r>
        <w:rPr>
          <w:rFonts w:ascii="Charis SIL" w:hAnsi="Charis SIL" w:cs="Charis SIL" w:eastAsia="Charis SIL"/>
          <w:b w:val="0"/>
          <w:i w:val="0"/>
          <w:color w:val="000000"/>
          <w:sz w:val="20"/>
        </w:rPr>
        <w:t xml:space="preserve">Minguez P, Letunic I, Parca L, et al. PTMcode v2: a resource for functional associations of post-translational modifications within and between proteins.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2015;43:D494–D502. doi:10.1093/nar/gku1081.</w:t>
      </w:r>
    </w:p>
    <w:p>
      <w:pPr>
        <w:pStyle w:val="ListNumber"/>
        <w:spacing w:before="0" w:after="60" w:line="284" w:lineRule="exact"/>
        <w:jc w:val="left"/>
      </w:pPr>
      <w:r>
        <w:rPr>
          <w:rFonts w:ascii="Charis SIL" w:hAnsi="Charis SIL" w:cs="Charis SIL" w:eastAsia="Charis SIL"/>
          <w:b w:val="0"/>
          <w:i w:val="0"/>
          <w:color w:val="000000"/>
          <w:sz w:val="20"/>
        </w:rPr>
        <w:t xml:space="preserve">Stephenson JD, Totoo P, Burke DF, Jänes J, Beltrao P, Martin MJ. ProtVar: mapping and contextualizing human missense variation.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2024;52:W140–W147. doi:10.1093/nar/gkae413.</w:t>
      </w:r>
    </w:p>
    <w:p>
      <w:pPr>
        <w:pStyle w:val="ListNumber"/>
        <w:spacing w:before="0" w:after="60" w:line="284" w:lineRule="exact"/>
        <w:jc w:val="left"/>
      </w:pPr>
      <w:r>
        <w:rPr>
          <w:rFonts w:ascii="Charis SIL" w:hAnsi="Charis SIL" w:cs="Charis SIL" w:eastAsia="Charis SIL"/>
          <w:b w:val="0"/>
          <w:i w:val="0"/>
          <w:color w:val="000000"/>
          <w:sz w:val="20"/>
        </w:rPr>
        <w:t xml:space="preserve">Niu B, Scott AD, Sengupta S, et al. Protein-structure-guided discovery of functional mutations across 19 cancer types. </w:t>
      </w:r>
      <w:r>
        <w:rPr>
          <w:rFonts w:ascii="Charis SIL" w:hAnsi="Charis SIL" w:cs="Charis SIL" w:eastAsia="Charis SIL"/>
          <w:b w:val="0"/>
          <w:i/>
          <w:color w:val="000000"/>
          <w:sz w:val="20"/>
        </w:rPr>
        <w:t>Nature Genetics</w:t>
      </w:r>
      <w:r>
        <w:rPr>
          <w:rFonts w:ascii="Charis SIL" w:hAnsi="Charis SIL" w:cs="Charis SIL" w:eastAsia="Charis SIL"/>
          <w:b w:val="0"/>
          <w:i w:val="0"/>
          <w:color w:val="000000"/>
          <w:sz w:val="20"/>
        </w:rPr>
        <w:t>. 2016;48:827–837. doi:10.1038/ng.3586.</w:t>
      </w:r>
    </w:p>
    <w:p>
      <w:pPr>
        <w:pStyle w:val="ListNumber"/>
        <w:spacing w:before="0" w:after="60" w:line="284" w:lineRule="exact"/>
        <w:jc w:val="left"/>
      </w:pPr>
      <w:r>
        <w:rPr>
          <w:rFonts w:ascii="Charis SIL" w:hAnsi="Charis SIL" w:cs="Charis SIL" w:eastAsia="Charis SIL"/>
          <w:b w:val="0"/>
          <w:i w:val="0"/>
          <w:color w:val="000000"/>
          <w:sz w:val="20"/>
        </w:rPr>
        <w:t xml:space="preserve">Beltrao P, Albanèse V, Kenner LR, et al. Systematic functional prioritization of protein posttranslational modifications. </w:t>
      </w:r>
      <w:r>
        <w:rPr>
          <w:rFonts w:ascii="Charis SIL" w:hAnsi="Charis SIL" w:cs="Charis SIL" w:eastAsia="Charis SIL"/>
          <w:b w:val="0"/>
          <w:i/>
          <w:color w:val="000000"/>
          <w:sz w:val="20"/>
        </w:rPr>
        <w:t>Cell</w:t>
      </w:r>
      <w:r>
        <w:rPr>
          <w:rFonts w:ascii="Charis SIL" w:hAnsi="Charis SIL" w:cs="Charis SIL" w:eastAsia="Charis SIL"/>
          <w:b w:val="0"/>
          <w:i w:val="0"/>
          <w:color w:val="000000"/>
          <w:sz w:val="20"/>
        </w:rPr>
        <w:t>. 2012;150:413–425. doi:10.1016/j.cell.2012.05.036.</w:t>
      </w:r>
    </w:p>
    <w:p>
      <w:pPr>
        <w:pStyle w:val="ListNumber"/>
        <w:spacing w:before="0" w:after="60" w:line="284" w:lineRule="exact"/>
        <w:jc w:val="left"/>
      </w:pPr>
      <w:r>
        <w:rPr>
          <w:rFonts w:ascii="Charis SIL" w:hAnsi="Charis SIL" w:cs="Charis SIL" w:eastAsia="Charis SIL"/>
          <w:b w:val="0"/>
          <w:i w:val="0"/>
          <w:color w:val="000000"/>
          <w:sz w:val="20"/>
        </w:rPr>
        <w:t xml:space="preserve">Nishi H, Hashimoto K, Panchenko AR. Phosphorylation in protein-protein binding: effect on stability and function. </w:t>
      </w:r>
      <w:r>
        <w:rPr>
          <w:rFonts w:ascii="Charis SIL" w:hAnsi="Charis SIL" w:cs="Charis SIL" w:eastAsia="Charis SIL"/>
          <w:b w:val="0"/>
          <w:i/>
          <w:color w:val="000000"/>
          <w:sz w:val="20"/>
        </w:rPr>
        <w:t>Structure</w:t>
      </w:r>
      <w:r>
        <w:rPr>
          <w:rFonts w:ascii="Charis SIL" w:hAnsi="Charis SIL" w:cs="Charis SIL" w:eastAsia="Charis SIL"/>
          <w:b w:val="0"/>
          <w:i w:val="0"/>
          <w:color w:val="000000"/>
          <w:sz w:val="20"/>
        </w:rPr>
        <w:t>. 2011;19:1807–1815. doi:10.1016/j.str.2011.09.021.</w:t>
      </w:r>
    </w:p>
    <w:p>
      <w:pPr>
        <w:pStyle w:val="ListNumber"/>
        <w:spacing w:before="0" w:after="60" w:line="284" w:lineRule="exact"/>
        <w:jc w:val="left"/>
      </w:pPr>
      <w:r>
        <w:rPr>
          <w:rFonts w:ascii="Charis SIL" w:hAnsi="Charis SIL" w:cs="Charis SIL" w:eastAsia="Charis SIL"/>
          <w:b w:val="0"/>
          <w:i w:val="0"/>
          <w:color w:val="000000"/>
          <w:sz w:val="20"/>
        </w:rPr>
        <w:t xml:space="preserve">Evans R, O'Neill M, Pritzel A, et al. Protein complex prediction with AlphaFold-Multimer. </w:t>
      </w:r>
      <w:r>
        <w:rPr>
          <w:rFonts w:ascii="Charis SIL" w:hAnsi="Charis SIL" w:cs="Charis SIL" w:eastAsia="Charis SIL"/>
          <w:b w:val="0"/>
          <w:i/>
          <w:color w:val="000000"/>
          <w:sz w:val="20"/>
        </w:rPr>
        <w:t>bioRxiv</w:t>
      </w:r>
      <w:r>
        <w:rPr>
          <w:rFonts w:ascii="Charis SIL" w:hAnsi="Charis SIL" w:cs="Charis SIL" w:eastAsia="Charis SIL"/>
          <w:b w:val="0"/>
          <w:i w:val="0"/>
          <w:color w:val="000000"/>
          <w:sz w:val="20"/>
        </w:rPr>
        <w:t>. 2022. doi:10.1101/2021.10.04.463034.</w:t>
      </w:r>
    </w:p>
    <w:p>
      <w:pPr>
        <w:pStyle w:val="ListNumber"/>
        <w:spacing w:before="0" w:after="60" w:line="284" w:lineRule="exact"/>
        <w:jc w:val="left"/>
      </w:pPr>
      <w:r>
        <w:rPr>
          <w:rFonts w:ascii="Charis SIL" w:hAnsi="Charis SIL" w:cs="Charis SIL" w:eastAsia="Charis SIL"/>
          <w:b w:val="0"/>
          <w:i w:val="0"/>
          <w:color w:val="000000"/>
          <w:sz w:val="20"/>
        </w:rPr>
        <w:t xml:space="preserve">Huang Y, Xu B, Zhou X, et al. Systematic characterization and prediction of post-translational modification cross-talk. </w:t>
      </w:r>
      <w:r>
        <w:rPr>
          <w:rFonts w:ascii="Charis SIL" w:hAnsi="Charis SIL" w:cs="Charis SIL" w:eastAsia="Charis SIL"/>
          <w:b w:val="0"/>
          <w:i/>
          <w:color w:val="000000"/>
          <w:sz w:val="20"/>
        </w:rPr>
        <w:t>Molecular &amp; Cellular Proteomics</w:t>
      </w:r>
      <w:r>
        <w:rPr>
          <w:rFonts w:ascii="Charis SIL" w:hAnsi="Charis SIL" w:cs="Charis SIL" w:eastAsia="Charis SIL"/>
          <w:b w:val="0"/>
          <w:i w:val="0"/>
          <w:color w:val="000000"/>
          <w:sz w:val="20"/>
        </w:rPr>
        <w:t>. 2015;14:761–770. doi:10.1074/mcp.M114.037994.</w:t>
      </w:r>
    </w:p>
    <w:p>
      <w:pPr>
        <w:pStyle w:val="ListNumber"/>
        <w:spacing w:before="0" w:after="60" w:line="284" w:lineRule="exact"/>
        <w:jc w:val="left"/>
      </w:pPr>
      <w:r>
        <w:rPr>
          <w:rFonts w:ascii="Charis SIL" w:hAnsi="Charis SIL" w:cs="Charis SIL" w:eastAsia="Charis SIL"/>
          <w:b w:val="0"/>
          <w:i w:val="0"/>
          <w:color w:val="000000"/>
          <w:sz w:val="20"/>
        </w:rPr>
        <w:t xml:space="preserve">Ng PC, Henikoff S. SIFT: predicting amino acid changes that affect protein function.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2003;31:3812–3814. doi:10.1093/nar/gkg509.</w:t>
      </w:r>
    </w:p>
    <w:p>
      <w:pPr>
        <w:pStyle w:val="ListNumber"/>
        <w:spacing w:before="0" w:after="60" w:line="284" w:lineRule="exact"/>
        <w:jc w:val="left"/>
      </w:pPr>
      <w:r>
        <w:rPr>
          <w:rFonts w:ascii="Charis SIL" w:hAnsi="Charis SIL" w:cs="Charis SIL" w:eastAsia="Charis SIL"/>
          <w:b w:val="0"/>
          <w:i w:val="0"/>
          <w:color w:val="000000"/>
          <w:sz w:val="20"/>
        </w:rPr>
        <w:t xml:space="preserve">The UniProt Consortium. UniProt: the Universal Protein Knowledgebase in 2023.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2023;51:D523–D531. doi:10.1093/nar/gkac1052.</w:t>
      </w:r>
    </w:p>
    <w:p>
      <w:pPr>
        <w:pStyle w:val="ListNumber"/>
        <w:spacing w:before="0" w:after="60" w:line="284" w:lineRule="exact"/>
        <w:jc w:val="left"/>
      </w:pPr>
      <w:r>
        <w:rPr>
          <w:rFonts w:ascii="Charis SIL" w:hAnsi="Charis SIL" w:cs="Charis SIL" w:eastAsia="Charis SIL"/>
          <w:b w:val="0"/>
          <w:i w:val="0"/>
          <w:color w:val="000000"/>
          <w:sz w:val="20"/>
        </w:rPr>
        <w:t xml:space="preserve">Jumper J, Evans R, Pritzel A, et al. Highly accurate protein structure prediction with AlphaFold. </w:t>
      </w:r>
      <w:r>
        <w:rPr>
          <w:rFonts w:ascii="Charis SIL" w:hAnsi="Charis SIL" w:cs="Charis SIL" w:eastAsia="Charis SIL"/>
          <w:b w:val="0"/>
          <w:i/>
          <w:color w:val="000000"/>
          <w:sz w:val="20"/>
        </w:rPr>
        <w:t>Nature</w:t>
      </w:r>
      <w:r>
        <w:rPr>
          <w:rFonts w:ascii="Charis SIL" w:hAnsi="Charis SIL" w:cs="Charis SIL" w:eastAsia="Charis SIL"/>
          <w:b w:val="0"/>
          <w:i w:val="0"/>
          <w:color w:val="000000"/>
          <w:sz w:val="20"/>
        </w:rPr>
        <w:t>. 2021;596:583–589. doi:10.1038/s41586-021-03819-2.</w:t>
      </w:r>
    </w:p>
    <w:p>
      <w:pPr>
        <w:pStyle w:val="ListNumber"/>
        <w:spacing w:before="0" w:after="60" w:line="284" w:lineRule="exact"/>
        <w:jc w:val="left"/>
      </w:pPr>
      <w:r>
        <w:rPr>
          <w:rFonts w:ascii="Charis SIL" w:hAnsi="Charis SIL" w:cs="Charis SIL" w:eastAsia="Charis SIL"/>
          <w:b w:val="0"/>
          <w:i w:val="0"/>
          <w:color w:val="000000"/>
          <w:sz w:val="20"/>
        </w:rPr>
        <w:t xml:space="preserve">Varadi M, Bertoni D, Magana P, et al. AlphaFold Protein Structure Database in 2024: providing structure coverage for over 214 million protein sequences.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2024;52:D368–D375. doi:10.1093/nar/gkad1011.</w:t>
      </w:r>
    </w:p>
    <w:p>
      <w:pPr>
        <w:pStyle w:val="ListNumber"/>
        <w:spacing w:before="0" w:after="60" w:line="284" w:lineRule="exact"/>
        <w:jc w:val="left"/>
      </w:pPr>
      <w:r>
        <w:rPr>
          <w:rFonts w:ascii="Charis SIL" w:hAnsi="Charis SIL" w:cs="Charis SIL" w:eastAsia="Charis SIL"/>
          <w:b w:val="0"/>
          <w:i w:val="0"/>
          <w:color w:val="000000"/>
          <w:sz w:val="20"/>
        </w:rPr>
        <w:t xml:space="preserve">Akdel M, Pires DEV, Pardo EP, et al. A structural biology community assessment of AlphaFold2 applications. </w:t>
      </w:r>
      <w:r>
        <w:rPr>
          <w:rFonts w:ascii="Charis SIL" w:hAnsi="Charis SIL" w:cs="Charis SIL" w:eastAsia="Charis SIL"/>
          <w:b w:val="0"/>
          <w:i/>
          <w:color w:val="000000"/>
          <w:sz w:val="20"/>
        </w:rPr>
        <w:t>Nature Structural &amp; Molecular Biology</w:t>
      </w:r>
      <w:r>
        <w:rPr>
          <w:rFonts w:ascii="Charis SIL" w:hAnsi="Charis SIL" w:cs="Charis SIL" w:eastAsia="Charis SIL"/>
          <w:b w:val="0"/>
          <w:i w:val="0"/>
          <w:color w:val="000000"/>
          <w:sz w:val="20"/>
        </w:rPr>
        <w:t>. 2022;29:1056–1067. doi:10.1038/s41594-022-00849-w.</w:t>
      </w:r>
    </w:p>
    <w:p>
      <w:pPr>
        <w:pStyle w:val="ListNumber"/>
        <w:spacing w:before="0" w:after="60" w:line="284" w:lineRule="exact"/>
        <w:jc w:val="left"/>
      </w:pPr>
      <w:r>
        <w:rPr>
          <w:rFonts w:ascii="Charis SIL" w:hAnsi="Charis SIL" w:cs="Charis SIL" w:eastAsia="Charis SIL"/>
          <w:b w:val="0"/>
          <w:i w:val="0"/>
          <w:color w:val="000000"/>
          <w:sz w:val="20"/>
        </w:rPr>
        <w:t xml:space="preserve">Ruff KM, Pappu RV. AlphaFold and implications for intrinsically disordered proteins.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2021;433:167208. doi:10.1016/j.jmb.2021.167208.</w:t>
      </w:r>
    </w:p>
    <w:p>
      <w:pPr>
        <w:pStyle w:val="ListNumber"/>
        <w:spacing w:before="0" w:after="60" w:line="284" w:lineRule="exact"/>
        <w:jc w:val="left"/>
      </w:pPr>
      <w:r>
        <w:rPr>
          <w:rFonts w:ascii="Charis SIL" w:hAnsi="Charis SIL" w:cs="Charis SIL" w:eastAsia="Charis SIL"/>
          <w:b w:val="0"/>
          <w:i w:val="0"/>
          <w:color w:val="000000"/>
          <w:sz w:val="20"/>
        </w:rPr>
        <w:t xml:space="preserve">Shrake A, Rupley JA. Environment and exposure to solvent of protein atoms: lysozyme and insulin.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1973;79:351–371. doi:10.1016/0022-2836(73)90011-9.</w:t>
      </w:r>
    </w:p>
    <w:p>
      <w:pPr>
        <w:pStyle w:val="ListNumber"/>
        <w:spacing w:before="0" w:after="60" w:line="284" w:lineRule="exact"/>
        <w:jc w:val="left"/>
      </w:pPr>
      <w:r>
        <w:rPr>
          <w:rFonts w:ascii="Charis SIL" w:hAnsi="Charis SIL" w:cs="Charis SIL" w:eastAsia="Charis SIL"/>
          <w:b w:val="0"/>
          <w:i w:val="0"/>
          <w:color w:val="000000"/>
          <w:sz w:val="20"/>
        </w:rPr>
        <w:t xml:space="preserve">Tien MZ, Meyer AG, Sydykova DK, Spielman SJ, Wilke CO. Maximum allowed solvent accessibilities of residues in proteins. </w:t>
      </w:r>
      <w:r>
        <w:rPr>
          <w:rFonts w:ascii="Charis SIL" w:hAnsi="Charis SIL" w:cs="Charis SIL" w:eastAsia="Charis SIL"/>
          <w:b w:val="0"/>
          <w:i/>
          <w:color w:val="000000"/>
          <w:sz w:val="20"/>
        </w:rPr>
        <w:t>PLoS ONE</w:t>
      </w:r>
      <w:r>
        <w:rPr>
          <w:rFonts w:ascii="Charis SIL" w:hAnsi="Charis SIL" w:cs="Charis SIL" w:eastAsia="Charis SIL"/>
          <w:b w:val="0"/>
          <w:i w:val="0"/>
          <w:color w:val="000000"/>
          <w:sz w:val="20"/>
        </w:rPr>
        <w:t>. 2013;8:e80635. doi:10.1371/journal.pone.0080635.</w:t>
      </w:r>
    </w:p>
    <w:p>
      <w:pPr>
        <w:pStyle w:val="ListNumber"/>
        <w:spacing w:before="0" w:after="60" w:line="284" w:lineRule="exact"/>
        <w:jc w:val="left"/>
      </w:pPr>
      <w:r>
        <w:rPr>
          <w:rFonts w:ascii="Charis SIL" w:hAnsi="Charis SIL" w:cs="Charis SIL" w:eastAsia="Charis SIL"/>
          <w:b w:val="0"/>
          <w:i w:val="0"/>
          <w:color w:val="000000"/>
          <w:sz w:val="20"/>
        </w:rPr>
        <w:t xml:space="preserve">Pedregosa F, Varoquaux G, Gramfort A, et al. Scikit-learn: machine learning in Python. </w:t>
      </w:r>
      <w:r>
        <w:rPr>
          <w:rFonts w:ascii="Charis SIL" w:hAnsi="Charis SIL" w:cs="Charis SIL" w:eastAsia="Charis SIL"/>
          <w:b w:val="0"/>
          <w:i/>
          <w:color w:val="000000"/>
          <w:sz w:val="20"/>
        </w:rPr>
        <w:t>Journal of Machine Learning Research</w:t>
      </w:r>
      <w:r>
        <w:rPr>
          <w:rFonts w:ascii="Charis SIL" w:hAnsi="Charis SIL" w:cs="Charis SIL" w:eastAsia="Charis SIL"/>
          <w:b w:val="0"/>
          <w:i w:val="0"/>
          <w:color w:val="000000"/>
          <w:sz w:val="20"/>
        </w:rPr>
        <w:t>. 2011;12:2825–2830.</w:t>
      </w:r>
    </w:p>
    <w:p>
      <w:pPr>
        <w:pStyle w:val="ListNumber"/>
        <w:spacing w:before="0" w:after="60" w:line="284" w:lineRule="exact"/>
        <w:jc w:val="left"/>
      </w:pPr>
      <w:r>
        <w:rPr>
          <w:rFonts w:ascii="Charis SIL" w:hAnsi="Charis SIL" w:cs="Charis SIL" w:eastAsia="Charis SIL"/>
          <w:b w:val="0"/>
          <w:i w:val="0"/>
          <w:color w:val="000000"/>
          <w:sz w:val="20"/>
        </w:rPr>
        <w:t xml:space="preserve">Kennedy PH, Alborzian Deh Sheikh A, Balakar M, et al. Post-translational modification-centric base editor screens to assess phosphorylation site functionality in high throughput. </w:t>
      </w:r>
      <w:r>
        <w:rPr>
          <w:rFonts w:ascii="Charis SIL" w:hAnsi="Charis SIL" w:cs="Charis SIL" w:eastAsia="Charis SIL"/>
          <w:b w:val="0"/>
          <w:i/>
          <w:color w:val="000000"/>
          <w:sz w:val="20"/>
        </w:rPr>
        <w:t>Nature Methods</w:t>
      </w:r>
      <w:r>
        <w:rPr>
          <w:rFonts w:ascii="Charis SIL" w:hAnsi="Charis SIL" w:cs="Charis SIL" w:eastAsia="Charis SIL"/>
          <w:b w:val="0"/>
          <w:i w:val="0"/>
          <w:color w:val="000000"/>
          <w:sz w:val="20"/>
        </w:rPr>
        <w:t>. 2024;21:1033–1043. doi:10.1038/s41592-024-02256-z.</w:t>
      </w:r>
    </w:p>
    <w:p>
      <w:pPr>
        <w:pStyle w:val="ListNumber"/>
        <w:spacing w:before="0" w:after="60" w:line="284" w:lineRule="exact"/>
        <w:jc w:val="left"/>
      </w:pPr>
      <w:r>
        <w:rPr>
          <w:rFonts w:ascii="Charis SIL" w:hAnsi="Charis SIL" w:cs="Charis SIL" w:eastAsia="Charis SIL"/>
          <w:b w:val="0"/>
          <w:i w:val="0"/>
          <w:color w:val="000000"/>
          <w:sz w:val="20"/>
        </w:rPr>
        <w:t xml:space="preserve">Correa Marrero M, Mello VH, Sartori P, Beltrao P. Global comparative structural analysis of responses to protein phosphorylation.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2025;16:9407. doi:10.1038/s41467-025-64116-4.</w:t>
      </w:r>
    </w:p>
    <w:p>
      <w:pPr>
        <w:pStyle w:val="ListNumber"/>
        <w:spacing w:before="0" w:after="60" w:line="284" w:lineRule="exact"/>
        <w:jc w:val="left"/>
      </w:pPr>
      <w:r>
        <w:rPr>
          <w:rFonts w:ascii="Charis SIL" w:hAnsi="Charis SIL" w:cs="Charis SIL" w:eastAsia="Charis SIL"/>
          <w:b w:val="0"/>
          <w:i w:val="0"/>
          <w:color w:val="000000"/>
          <w:sz w:val="20"/>
        </w:rPr>
        <w:t xml:space="preserve">Li Y, Xu T, Ma H, et al. Functional profiling of serine, threonine and tyrosine sites. </w:t>
      </w:r>
      <w:r>
        <w:rPr>
          <w:rFonts w:ascii="Charis SIL" w:hAnsi="Charis SIL" w:cs="Charis SIL" w:eastAsia="Charis SIL"/>
          <w:b w:val="0"/>
          <w:i/>
          <w:color w:val="000000"/>
          <w:sz w:val="20"/>
        </w:rPr>
        <w:t>Nature Chemical Biology</w:t>
      </w:r>
      <w:r>
        <w:rPr>
          <w:rFonts w:ascii="Charis SIL" w:hAnsi="Charis SIL" w:cs="Charis SIL" w:eastAsia="Charis SIL"/>
          <w:b w:val="0"/>
          <w:i w:val="0"/>
          <w:color w:val="000000"/>
          <w:sz w:val="20"/>
        </w:rPr>
        <w:t>. 2025;21:532–543. doi:10.1038/s41589-024-01731-0.</w:t>
      </w:r>
    </w:p>
    <w:p>
      <w:pPr>
        <w:spacing w:before="240" w:after="120" w:line="284" w:lineRule="exact"/>
        <w:jc w:val="left"/>
      </w:pPr>
      <w:r>
        <w:rPr>
          <w:rFonts w:ascii="Charis SIL" w:hAnsi="Charis SIL" w:cs="Charis SIL" w:eastAsia="Charis SIL"/>
          <w:b/>
          <w:i w:val="0"/>
          <w:color w:val="000000"/>
          <w:sz w:val="25"/>
        </w:rPr>
        <w:t>Supplementary information</w:t>
      </w:r>
    </w:p>
    <w:p>
      <w:pPr>
        <w:spacing w:before="0" w:after="200" w:line="284" w:lineRule="exact"/>
        <w:jc w:val="left"/>
      </w:pPr>
      <w:r>
        <w:rPr>
          <w:rFonts w:ascii="Charis SIL" w:hAnsi="Charis SIL" w:cs="Charis SIL" w:eastAsia="Charis SIL"/>
          <w:b w:val="0"/>
          <w:i w:val="0"/>
          <w:color w:val="000000"/>
          <w:sz w:val="20"/>
        </w:rPr>
        <w:t>Material moved out of the main narrative. Nothing here is withdrawn; it is placed where a reader who wants it can find it and a reader following the argument is not detained by it.</w:t>
      </w:r>
    </w:p>
    <w:p>
      <w:pPr>
        <w:spacing w:before="240" w:after="120" w:line="284" w:lineRule="exact"/>
        <w:jc w:val="left"/>
      </w:pPr>
      <w:r>
        <w:rPr>
          <w:rFonts w:ascii="Charis SIL" w:hAnsi="Charis SIL" w:cs="Charis SIL" w:eastAsia="Charis SIL"/>
          <w:b/>
          <w:i w:val="0"/>
          <w:color w:val="000000"/>
          <w:sz w:val="22"/>
        </w:rPr>
        <w:t>Supplementary Note S1. Annotation records, residue expansion, and a withdrawn count</w:t>
      </w:r>
    </w:p>
    <w:p>
      <w:pPr>
        <w:spacing w:before="0" w:after="200" w:line="284" w:lineRule="exact"/>
        <w:jc w:val="left"/>
      </w:pPr>
      <w:r>
        <w:rPr>
          <w:rFonts w:ascii="Charis SIL" w:hAnsi="Charis SIL" w:cs="Charis SIL" w:eastAsia="Charis SIL"/>
          <w:b w:val="0"/>
          <w:i w:val="0"/>
          <w:color w:val="000000"/>
          <w:sz w:val="20"/>
        </w:rPr>
        <w:t xml:space="preserve">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eligible records to one row per covered residue gives 594 rows: 565 after removing duplicates on (accession, start, end) and 566 on (accession, start, end, feature type). The target set itself is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and that count reproduces exactly. The excess over 560 arises from P12904, whose intervals are recorded once per ligand, so the same residue appears under more than one record.</w:t>
      </w:r>
    </w:p>
    <w:p>
      <w:pPr>
        <w:spacing w:before="0" w:after="200" w:line="284" w:lineRule="exact"/>
        <w:jc w:val="left"/>
      </w:pPr>
      <w:r>
        <w:rPr>
          <w:rFonts w:ascii="Charis SIL" w:hAnsi="Charis SIL" w:cs="Charis SIL" w:eastAsia="Charis SIL"/>
          <w:b w:val="0"/>
          <w:i w:val="0"/>
          <w:color w:val="000000"/>
          <w:sz w:val="20"/>
        </w:rPr>
        <w:t xml:space="preserve">An earlier expanded row count kept in the analysis records does not reproduce under any simple rule and is </w:t>
      </w:r>
      <w:r>
        <w:rPr>
          <w:rFonts w:ascii="Charis SIL" w:hAnsi="Charis SIL" w:cs="Charis SIL" w:eastAsia="Charis SIL"/>
          <w:b/>
          <w:i w:val="0"/>
          <w:color w:val="000000"/>
          <w:sz w:val="20"/>
        </w:rPr>
        <w:t>withdrawn</w:t>
      </w:r>
      <w:r>
        <w:rPr>
          <w:rFonts w:ascii="Charis SIL" w:hAnsi="Charis SIL" w:cs="Charis SIL" w:eastAsia="Charis SIL"/>
          <w:b w:val="0"/>
          <w:i w:val="0"/>
          <w:color w:val="000000"/>
          <w:sz w:val="20"/>
        </w:rPr>
        <w:t>. It is named here rather than deleted because it appeared in an earlier version of this manuscript. No figure, table or claim in the present text depends on it; the numerical authority bars citing it.</w:t>
      </w:r>
    </w:p>
    <w:p>
      <w:pPr>
        <w:spacing w:before="240" w:after="120" w:line="284" w:lineRule="exact"/>
        <w:jc w:val="left"/>
      </w:pPr>
      <w:r>
        <w:rPr>
          <w:rFonts w:ascii="Charis SIL" w:hAnsi="Charis SIL" w:cs="Charis SIL" w:eastAsia="Charis SIL"/>
          <w:b/>
          <w:i w:val="0"/>
          <w:color w:val="000000"/>
          <w:sz w:val="22"/>
        </w:rPr>
        <w:t>Supplementary Table S2. The eleven-stratum confidence family</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All eleven strata are post hoc and are shown here and in Figure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240" w:after="120" w:line="284" w:lineRule="exact"/>
        <w:jc w:val="left"/>
      </w:pPr>
      <w:r>
        <w:rPr>
          <w:rFonts w:ascii="Charis SIL" w:hAnsi="Charis SIL" w:cs="Charis SIL" w:eastAsia="Charis SIL"/>
          <w:b/>
          <w:i w:val="0"/>
          <w:color w:val="000000"/>
          <w:sz w:val="22"/>
        </w:rPr>
        <w:t>Supplementary Note S3. The simulated reviews</w:t>
      </w:r>
    </w:p>
    <w:p>
      <w:pPr>
        <w:spacing w:before="0" w:after="200" w:line="284" w:lineRule="exact"/>
        <w:jc w:val="left"/>
      </w:pPr>
      <w:r>
        <w:rPr>
          <w:rFonts w:ascii="Charis SIL" w:hAnsi="Charis SIL" w:cs="Charis SIL" w:eastAsia="Charis SIL"/>
          <w:b w:val="0"/>
          <w:i w:val="0"/>
          <w:color w:val="000000"/>
          <w:sz w:val="20"/>
        </w:rPr>
        <w:t>Two rounds of simulated review were run against this manuscript, in which every reviewer was an AI agent running on one model family, together with an automated reference audit. They produced the revisions recorded in the analysis materials, including the retirement of an exclusion claim about the interval endpoint, the retirement of a claim that no positive control existed, the separation of the two human screens, and corrections to several literature summaries. None of it is peer review. Agreement among those reviewers is not independent replication, and no finding in this manuscript rests on their agreement rather than on a recomputation.</w:t>
      </w:r>
    </w:p>
    <w:p>
      <w:pPr>
        <w:spacing w:before="240" w:after="120" w:line="284" w:lineRule="exact"/>
        <w:jc w:val="left"/>
      </w:pPr>
      <w:r>
        <w:rPr>
          <w:rFonts w:ascii="Charis SIL" w:hAnsi="Charis SIL" w:cs="Charis SIL" w:eastAsia="Charis SIL"/>
          <w:b/>
          <w:i w:val="0"/>
          <w:color w:val="000000"/>
          <w:sz w:val="22"/>
        </w:rPr>
        <w:t>Supplementary Table S4. The 72-cell confidence-by-PAE grids</w:t>
      </w:r>
    </w:p>
    <w:p>
      <w:pPr>
        <w:spacing w:before="0" w:after="200" w:line="284" w:lineRule="exact"/>
        <w:jc w:val="left"/>
      </w:pPr>
      <w:r>
        <w:rPr>
          <w:rFonts w:ascii="Charis SIL" w:hAnsi="Charis SIL" w:cs="Charis SIL" w:eastAsia="Charis SIL"/>
          <w:b w:val="0"/>
          <w:i w:val="0"/>
          <w:color w:val="000000"/>
          <w:sz w:val="20"/>
        </w:rPr>
        <w:t>The four predicted-aligned-error summaries at 10 Å and the 72-cell grids are deposited with the analysis materials.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a calibration and audit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