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ktnuyen04@gmail.com</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480" w:lineRule="auto"/>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0.486 (0.422–0.552) on an NFAT reporter screen. Six further endpoint definitions, three using no p-value, all give intervals containing 0.5.</w:t>
      </w:r>
    </w:p>
    <w:p>
      <w:pPr>
        <w:spacing w:before="0" w:after="200" w:line="480" w:lineRule="auto"/>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0.604 (0.528–0.675), although its paired difference against distance contains zero. No paired difference in either cohort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2.4.1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2.4.2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the endpoint doubles that minimum. Because the released column does not reproduce it on the 47 and 103 rows above, the minimum is reconstructed from the two directional columns of the source rather than taken from the released one, and doubled. Reconstructing changes nothing in the fitness screen, where no mismatched row crosses the threshold, and moves the reporter screen from 80 affected sites to 83, with TBKBP1 S335, PDE4A S13 and BRSK2 S367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0.486 (0.422–0.552)</w:t>
      </w:r>
      <w:r>
        <w:rPr>
          <w:rFonts w:ascii="Charis SIL" w:hAnsi="Charis SIL" w:cs="Charis SIL" w:eastAsia="Charis SIL"/>
          <w:b w:val="0"/>
          <w:i w:val="0"/>
          <w:color w:val="000000"/>
          <w:sz w:val="20"/>
        </w:rPr>
        <w:t xml:space="preserve"> on the reporter screen, where 83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83</w:t>
            </w:r>
          </w:p>
        </w:tc>
        <w:tc>
          <w:tcPr>
            <w:tcW w:type="dxa" w:w="2420"/>
          </w:tcPr>
          <w:p>
            <w:pPr>
              <w:spacing w:before="0" w:after="40" w:line="208" w:lineRule="exact"/>
              <w:jc w:val="left"/>
            </w:pPr>
            <w:r>
              <w:rPr>
                <w:rFonts w:ascii="Charis SIL" w:hAnsi="Charis SIL" w:cs="Charis SIL" w:eastAsia="Charis SIL"/>
                <w:b w:val="0"/>
                <w:i w:val="0"/>
                <w:color w:val="000000"/>
                <w:sz w:val="16"/>
              </w:rPr>
              <w:t>0.486</w:t>
            </w:r>
          </w:p>
        </w:tc>
        <w:tc>
          <w:tcPr>
            <w:tcW w:type="dxa" w:w="2420"/>
          </w:tcPr>
          <w:p>
            <w:pPr>
              <w:spacing w:before="0" w:after="40" w:line="208" w:lineRule="exact"/>
              <w:jc w:val="left"/>
            </w:pPr>
            <w:r>
              <w:rPr>
                <w:rFonts w:ascii="Charis SIL" w:hAnsi="Charis SIL" w:cs="Charis SIL" w:eastAsia="Charis SIL"/>
                <w:b w:val="0"/>
                <w:i w:val="0"/>
                <w:color w:val="000000"/>
                <w:sz w:val="16"/>
              </w:rPr>
              <w:t>0.422–0.552</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0.551 (0.486–0.616), an interval containing 0.5, and its paired difference against distance is +0.065 (−0.001 to +0.130),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185 of 115,536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50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puts the declared predictor above chance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185</w:t>
            </w:r>
          </w:p>
        </w:tc>
        <w:tc>
          <w:tcPr>
            <w:tcW w:type="dxa" w:w="1936"/>
          </w:tcPr>
          <w:p>
            <w:pPr>
              <w:spacing w:before="0" w:after="40" w:line="208" w:lineRule="exact"/>
              <w:jc w:val="left"/>
            </w:pPr>
            <w:r>
              <w:rPr>
                <w:rFonts w:ascii="Charis SIL" w:hAnsi="Charis SIL" w:cs="Charis SIL" w:eastAsia="Charis SIL"/>
                <w:b w:val="0"/>
                <w:i w:val="0"/>
                <w:color w:val="000000"/>
                <w:sz w:val="16"/>
              </w:rPr>
              <w:t>0.416 (0.317–0.516)</w:t>
            </w:r>
          </w:p>
        </w:tc>
        <w:tc>
          <w:tcPr>
            <w:tcW w:type="dxa" w:w="1936"/>
          </w:tcPr>
          <w:p>
            <w:pPr>
              <w:spacing w:before="0" w:after="40" w:line="208" w:lineRule="exact"/>
              <w:jc w:val="left"/>
            </w:pPr>
            <w:r>
              <w:rPr>
                <w:rFonts w:ascii="Charis SIL" w:hAnsi="Charis SIL" w:cs="Charis SIL" w:eastAsia="Charis SIL"/>
                <w:b w:val="0"/>
                <w:i w:val="0"/>
                <w:color w:val="000000"/>
                <w:sz w:val="16"/>
              </w:rPr>
              <w:t>0.388 (0.279–0.502)</w:t>
            </w:r>
          </w:p>
        </w:tc>
      </w:tr>
    </w:tbl>
    <w:p>
      <w:pPr>
        <w:spacing w:before="0" w:after="200" w:line="480" w:lineRule="auto"/>
        <w:jc w:val="left"/>
      </w:pPr>
    </w:p>
    <w:p>
      <w:pPr>
        <w:spacing w:before="0" w:after="200" w:line="480" w:lineRule="auto"/>
        <w:jc w:val="left"/>
      </w:pPr>
      <w:r>
        <w:rPr>
          <w:rFonts w:ascii="Charis SIL" w:hAnsi="Charis SIL" w:cs="Charis SIL" w:eastAsia="Charis SIL"/>
          <w:b/>
          <w:i w:val="0"/>
          <w:color w:val="000000"/>
          <w:sz w:val="20"/>
        </w:rPr>
        <w:t>All six intervals contain 0.5.</w:t>
      </w:r>
      <w:r>
        <w:rPr>
          <w:rFonts w:ascii="Charis SIL" w:hAnsi="Charis SIL" w:cs="Charis SIL" w:eastAsia="Charis SIL"/>
          <w:b w:val="0"/>
          <w:i w:val="0"/>
          <w:color w:val="000000"/>
          <w:sz w:val="20"/>
        </w:rPr>
        <w:t xml:space="preserve"> The reporter screen's two aggregations sit below it and the fitness screen's two above, on 39 and 50 informative proteins and 102 and 185 pairs. An earlier version of this analysis reported the reporter equal-protein estimate as 0.384 (0.272–0.498), an interval excluding 0.5 from below; that rested on the released per-site column, and the upper endpoint moves to 0.502 once the endpoint is rebuilt from the source directional columns. No within-protein interval in either cohort excludes 0.5 in either direction.</w:t>
      </w:r>
    </w:p>
    <w:p>
      <w:pPr>
        <w:spacing w:before="0" w:after="200" w:line="480" w:lineRule="auto"/>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0.485 (0.388–0.582)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83 affected</w:t>
            </w:r>
          </w:p>
        </w:tc>
        <w:tc>
          <w:tcPr>
            <w:tcW w:type="dxa" w:w="1613"/>
          </w:tcPr>
          <w:p>
            <w:pPr>
              <w:spacing w:before="0" w:after="40" w:line="208" w:lineRule="exact"/>
              <w:jc w:val="left"/>
            </w:pPr>
            <w:r>
              <w:rPr>
                <w:rFonts w:ascii="Charis SIL" w:hAnsi="Charis SIL" w:cs="Charis SIL" w:eastAsia="Charis SIL"/>
                <w:b w:val="0"/>
                <w:i w:val="0"/>
                <w:color w:val="000000"/>
                <w:sz w:val="16"/>
              </w:rPr>
              <w:t>0.486</w:t>
            </w:r>
          </w:p>
        </w:tc>
        <w:tc>
          <w:tcPr>
            <w:tcW w:type="dxa" w:w="1613"/>
          </w:tcPr>
          <w:p>
            <w:pPr>
              <w:spacing w:before="0" w:after="40" w:line="208" w:lineRule="exact"/>
              <w:jc w:val="left"/>
            </w:pPr>
            <w:r>
              <w:rPr>
                <w:rFonts w:ascii="Charis SIL" w:hAnsi="Charis SIL" w:cs="Charis SIL" w:eastAsia="Charis SIL"/>
                <w:b w:val="0"/>
                <w:i w:val="0"/>
                <w:color w:val="000000"/>
                <w:sz w:val="16"/>
              </w:rPr>
              <w:t>0.422–0.552</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217 sites, 50 proteins, 185 pairs</w:t>
            </w:r>
          </w:p>
        </w:tc>
        <w:tc>
          <w:tcPr>
            <w:tcW w:type="dxa" w:w="1613"/>
          </w:tcPr>
          <w:p>
            <w:pPr>
              <w:spacing w:before="0" w:after="40" w:line="208" w:lineRule="exact"/>
              <w:jc w:val="left"/>
            </w:pPr>
            <w:r>
              <w:rPr>
                <w:rFonts w:ascii="Charis SIL" w:hAnsi="Charis SIL" w:cs="Charis SIL" w:eastAsia="Charis SIL"/>
                <w:b w:val="0"/>
                <w:i w:val="0"/>
                <w:color w:val="000000"/>
                <w:sz w:val="16"/>
              </w:rPr>
              <w:t>0.416</w:t>
            </w:r>
          </w:p>
        </w:tc>
        <w:tc>
          <w:tcPr>
            <w:tcW w:type="dxa" w:w="1613"/>
          </w:tcPr>
          <w:p>
            <w:pPr>
              <w:spacing w:before="0" w:after="40" w:line="208" w:lineRule="exact"/>
              <w:jc w:val="left"/>
            </w:pPr>
            <w:r>
              <w:rPr>
                <w:rFonts w:ascii="Charis SIL" w:hAnsi="Charis SIL" w:cs="Charis SIL" w:eastAsia="Charis SIL"/>
                <w:b w:val="0"/>
                <w:i w:val="0"/>
                <w:color w:val="000000"/>
                <w:sz w:val="16"/>
              </w:rPr>
              <w:t>0.317–0.516</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50 proteins</w:t>
            </w:r>
          </w:p>
        </w:tc>
        <w:tc>
          <w:tcPr>
            <w:tcW w:type="dxa" w:w="1613"/>
          </w:tcPr>
          <w:p>
            <w:pPr>
              <w:spacing w:before="0" w:after="40" w:line="208" w:lineRule="exact"/>
              <w:jc w:val="left"/>
            </w:pPr>
            <w:r>
              <w:rPr>
                <w:rFonts w:ascii="Charis SIL" w:hAnsi="Charis SIL" w:cs="Charis SIL" w:eastAsia="Charis SIL"/>
                <w:b w:val="0"/>
                <w:i w:val="0"/>
                <w:color w:val="000000"/>
                <w:sz w:val="16"/>
              </w:rPr>
              <w:t>0.388</w:t>
            </w:r>
          </w:p>
        </w:tc>
        <w:tc>
          <w:tcPr>
            <w:tcW w:type="dxa" w:w="1613"/>
          </w:tcPr>
          <w:p>
            <w:pPr>
              <w:spacing w:before="0" w:after="40" w:line="208" w:lineRule="exact"/>
              <w:jc w:val="left"/>
            </w:pPr>
            <w:r>
              <w:rPr>
                <w:rFonts w:ascii="Charis SIL" w:hAnsi="Charis SIL" w:cs="Charis SIL" w:eastAsia="Charis SIL"/>
                <w:b w:val="0"/>
                <w:i w:val="0"/>
                <w:color w:val="000000"/>
                <w:sz w:val="16"/>
              </w:rPr>
              <w:t>0.279–0.502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0.551</w:t>
            </w:r>
          </w:p>
        </w:tc>
        <w:tc>
          <w:tcPr>
            <w:tcW w:type="dxa" w:w="1613"/>
          </w:tcPr>
          <w:p>
            <w:pPr>
              <w:spacing w:before="0" w:after="40" w:line="208" w:lineRule="exact"/>
              <w:jc w:val="left"/>
            </w:pPr>
            <w:r>
              <w:rPr>
                <w:rFonts w:ascii="Charis SIL" w:hAnsi="Charis SIL" w:cs="Charis SIL" w:eastAsia="Charis SIL"/>
                <w:b w:val="0"/>
                <w:i w:val="0"/>
                <w:color w:val="000000"/>
                <w:sz w:val="16"/>
              </w:rPr>
              <w:t>0.486–0.616</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−0.001 to +0.130</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0.485</w:t>
            </w:r>
          </w:p>
        </w:tc>
        <w:tc>
          <w:tcPr>
            <w:tcW w:type="dxa" w:w="1613"/>
          </w:tcPr>
          <w:p>
            <w:pPr>
              <w:spacing w:before="0" w:after="40" w:line="208" w:lineRule="exact"/>
              <w:jc w:val="left"/>
            </w:pPr>
            <w:r>
              <w:rPr>
                <w:rFonts w:ascii="Charis SIL" w:hAnsi="Charis SIL" w:cs="Charis SIL" w:eastAsia="Charis SIL"/>
                <w:b w:val="0"/>
                <w:i w:val="0"/>
                <w:color w:val="000000"/>
                <w:sz w:val="16"/>
              </w:rPr>
              <w:t>0.388–0.582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Captions only. Each item is uploaded as its own file, as PLOS ONE requires.</w:t>
      </w:r>
    </w:p>
    <w:p>
      <w:pPr>
        <w:spacing w:before="0" w:after="200" w:line="480" w:lineRule="auto"/>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480" w:lineRule="auto"/>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480" w:lineRule="auto"/>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480" w:lineRule="auto"/>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480" w:lineRule="auto"/>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480" w:lineRule="auto"/>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