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Work that ranks which protein modification sites are worth following up often leans on how close a site sits to a residue already annotated as part of an active or binding site. This paper asks what that measurement contains, and how well it separates sites whose mutation changed a phenotype from those whose mutation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non-hydrogen atom of the nearest annotated residue, in an AlphaFold DB version 6 monomer model. It was measured on 163 alanine substitutions in 48 yeast proteins, and on 1,475 base-edited sites in 793 human proteins. The cohorts share the distance definition and the estimator, not a builder.</w:t>
      </w:r>
    </w:p>
    <w:p>
      <w:pPr>
        <w:spacing w:before="0" w:after="200" w:line="284" w:lineRule="exact"/>
        <w:jc w:val="left"/>
      </w:pPr>
      <w:r>
        <w:rPr>
          <w:rFonts w:ascii="Charis SIL" w:hAnsi="Charis SIL" w:cs="Charis SIL" w:eastAsia="Charis SIL"/>
          <w:b w:val="0"/>
          <w:i w:val="0"/>
          <w:color w:val="000000"/>
          <w:sz w:val="20"/>
        </w:rPr>
        <w:t>In yeast, distance ranked sites at an area under the ROC curve of 0.527 (95% confidence interval 0.417–0.632, resampling whole proteins), where 0.5 is uninformative; a second cohort version keeping the three self-annotated sites gives 0.544 (0.436–0.649) on 166 sites. The human experiment reports two screens with different readouts, analysed separately: 0.559 (0.476–0.641) on a fitness screen and 0.487 (0.421–0.554) on an NFAT reporter screen. Six further endpoint definitions, three using no p-value, all give intervals containing 0.5.</w:t>
      </w:r>
    </w:p>
    <w:p>
      <w:pPr>
        <w:spacing w:before="0" w:after="200" w:line="284" w:lineRule="exact"/>
        <w:jc w:val="left"/>
      </w:pPr>
      <w:r>
        <w:rPr>
          <w:rFonts w:ascii="Charis SIL" w:hAnsi="Charis SIL" w:cs="Charis SIL" w:eastAsia="Charis SIL"/>
          <w:b w:val="0"/>
          <w:i w:val="0"/>
          <w:color w:val="000000"/>
          <w:sz w:val="20"/>
        </w:rPr>
        <w:t>What the statistic rests on is mostly not experimental and mostly not within a protein. Of 163 yeast nearest-target assignments, 143 were not experimentally established; half the sites within 5 Å are the next residue along the chain; and 2.65% of yeast and 0.10% and 0.16% of human ranked pairs compare two sites in one protein. Two post hoc results survive, neither adjusted for multiplicity: burial has an interval above 0.5 in the fitness screen, and sequence separation has a paired difference above distance of +0.071 (+0.005 to +0.137) in the reporter screen though its own interval contains 0.5.</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[1–4].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[2].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[22]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[4]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§2.7.1.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[22] measures the same distance against a structural rather than a phenotypic outcome. The nearest published work otherwise measures a different relation between residues. Huang et al. [11] found structural distance to be the single most discriminating feature for cross-talk between two modifications on the same protein, at an AUC of 0.815; that figure rests on 50 positive cross-talk pairs against 1,821 controls, and structural distance had the highest missing rate of the features they compared.</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Figure 1A).</w:t>
      </w:r>
    </w:p>
    <w:p>
      <w:pPr>
        <w:jc w:val="left"/>
      </w:pPr>
      <w:r>
        <w:drawing>
          <wp:inline xmlns:a="http://schemas.openxmlformats.org/drawingml/2006/main" xmlns:pic="http://schemas.openxmlformats.org/drawingml/2006/picture">
            <wp:extent cx="6146800" cy="2486873"/>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6146800" cy="2486873"/>
                    </a:xfrm>
                    <a:prstGeom prst="rect"/>
                  </pic:spPr>
                </pic:pic>
              </a:graphicData>
            </a:graphic>
          </wp:inline>
        </w:drawing>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Supplementary Note S1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287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Figure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27 to 1,475,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Figure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2.4.1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2.4.2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(Figure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Supplementary Table S2 and Figure 2C. Its primary-cohort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Figure 2D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in the supplement; its 72 primary-cohort cells run from 0.416 to 0.569.</w:t>
      </w:r>
    </w:p>
    <w:p>
      <w:pPr>
        <w:jc w:val="left"/>
      </w:pPr>
      <w:r>
        <w:drawing>
          <wp:inline xmlns:a="http://schemas.openxmlformats.org/drawingml/2006/main" xmlns:pic="http://schemas.openxmlformats.org/drawingml/2006/picture">
            <wp:extent cx="6146800" cy="7288572"/>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6146800" cy="7288572"/>
                    </a:xfrm>
                    <a:prstGeom prst="rect"/>
                  </pic:spPr>
                </pic:pic>
              </a:graphicData>
            </a:graphic>
          </wp:inline>
        </w:drawing>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[21] edited phosphosites in human Jurkat and HEK293 cells with base editors. The predictor, the annotation source, the structure source and the estimator are the ones declared above. The cohort holds </w:t>
      </w:r>
      <w:r>
        <w:rPr>
          <w:rFonts w:ascii="Charis SIL" w:hAnsi="Charis SIL" w:cs="Charis SIL" w:eastAsia="Charis SIL"/>
          <w:b/>
          <w:i w:val="0"/>
          <w:color w:val="000000"/>
          <w:sz w:val="20"/>
        </w:rPr>
        <w:t>1,475 edited sites in 793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65 sites in the fitness screen only, 74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two one-sided gene-level p-values on most rows but not all: reconstructing that minimum reproduces it on 1,428 of the 1,475 rows for the fitness screen and 1,372 of 1,475 for the reporter screen, and the construction of the remaining 47 and 103 is not established here. A minimum of two one-sided tests is not a two-sided p-value, so each screen's released value is doubled before use. That doubling has the meaning of a directional correction only where the column is in fact that minimum, which is not established on the 47 and 103 rows above; elsewhere in this paper the resulting endpoint is called a doubled released-column threshold for that reason.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0.559 (0.476–0.641)</w:t>
      </w:r>
      <w:r>
        <w:rPr>
          <w:rFonts w:ascii="Charis SIL" w:hAnsi="Charis SIL" w:cs="Charis SIL" w:eastAsia="Charis SIL"/>
          <w:b w:val="0"/>
          <w:i w:val="0"/>
          <w:color w:val="000000"/>
          <w:sz w:val="20"/>
        </w:rPr>
        <w:t xml:space="preserve"> on the fitness screen, where 71 sites are affected, and </w:t>
      </w:r>
      <w:r>
        <w:rPr>
          <w:rFonts w:ascii="Charis SIL" w:hAnsi="Charis SIL" w:cs="Charis SIL" w:eastAsia="Charis SIL"/>
          <w:b/>
          <w:i w:val="0"/>
          <w:color w:val="000000"/>
          <w:sz w:val="20"/>
        </w:rPr>
        <w:t>0.487 (0.421–0.554)</w:t>
      </w:r>
      <w:r>
        <w:rPr>
          <w:rFonts w:ascii="Charis SIL" w:hAnsi="Charis SIL" w:cs="Charis SIL" w:eastAsia="Charis SIL"/>
          <w:b w:val="0"/>
          <w:i w:val="0"/>
          <w:color w:val="000000"/>
          <w:sz w:val="20"/>
        </w:rPr>
        <w:t xml:space="preserve"> on the reporter screen, where 80 are. The two land on opposite sides of 0.5 from the same predictor on the same 1,475 sites. Both intervals contain 0.5, and the fitness value is the further from it: shuffling the outcome labels 20,000 times puts it 1.68 standard deviations out, at </w:t>
      </w:r>
      <w:r>
        <w:rPr>
          <w:rFonts w:ascii="Charis SIL" w:hAnsi="Charis SIL" w:cs="Charis SIL" w:eastAsia="Charis SIL"/>
          <w:b/>
          <w:i w:val="0"/>
          <w:color w:val="000000"/>
          <w:sz w:val="20"/>
        </w:rPr>
        <w:t>p = 0.09</w:t>
      </w:r>
      <w:r>
        <w:rPr>
          <w:rFonts w:ascii="Charis SIL" w:hAnsi="Charis SIL" w:cs="Charis SIL" w:eastAsia="Charis SIL"/>
          <w:b w:val="0"/>
          <w:i w:val="0"/>
          <w:color w:val="000000"/>
          <w:sz w:val="20"/>
        </w:rPr>
        <w:t>. That is not a small number and it is not significance either; it is reported as it stands.</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3.</w:t>
      </w:r>
    </w:p>
    <w:p>
      <w:pPr>
        <w:spacing w:before="0" w:after="200" w:line="284" w:lineRule="exact"/>
        <w:jc w:val="left"/>
      </w:pPr>
      <w:r>
        <w:rPr>
          <w:rFonts w:ascii="Charis SIL" w:hAnsi="Charis SIL" w:cs="Charis SIL" w:eastAsia="Charis SIL"/>
          <w:b/>
          <w:i w:val="0"/>
          <w:color w:val="000000"/>
          <w:sz w:val="20"/>
        </w:rPr>
        <w:t>Table 3.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71</w:t>
            </w:r>
          </w:p>
        </w:tc>
        <w:tc>
          <w:tcPr>
            <w:tcW w:type="dxa" w:w="2420"/>
          </w:tcPr>
          <w:p>
            <w:pPr>
              <w:spacing w:before="0" w:after="40" w:line="208" w:lineRule="exact"/>
              <w:jc w:val="left"/>
            </w:pPr>
            <w:r>
              <w:rPr>
                <w:rFonts w:ascii="Charis SIL" w:hAnsi="Charis SIL" w:cs="Charis SIL" w:eastAsia="Charis SIL"/>
                <w:b w:val="0"/>
                <w:i w:val="0"/>
                <w:color w:val="000000"/>
                <w:sz w:val="16"/>
              </w:rPr>
              <w:t>0.559</w:t>
            </w:r>
          </w:p>
        </w:tc>
        <w:tc>
          <w:tcPr>
            <w:tcW w:type="dxa" w:w="2420"/>
          </w:tcPr>
          <w:p>
            <w:pPr>
              <w:spacing w:before="0" w:after="40" w:line="208" w:lineRule="exact"/>
              <w:jc w:val="left"/>
            </w:pPr>
            <w:r>
              <w:rPr>
                <w:rFonts w:ascii="Charis SIL" w:hAnsi="Charis SIL" w:cs="Charis SIL" w:eastAsia="Charis SIL"/>
                <w:b w:val="0"/>
                <w:i w:val="0"/>
                <w:color w:val="000000"/>
                <w:sz w:val="16"/>
              </w:rPr>
              <w:t>0.476–0.641</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direction-corrected (declared)</w:t>
            </w:r>
          </w:p>
        </w:tc>
        <w:tc>
          <w:tcPr>
            <w:tcW w:type="dxa" w:w="2420"/>
          </w:tcPr>
          <w:p>
            <w:pPr>
              <w:spacing w:before="0" w:after="40" w:line="208" w:lineRule="exact"/>
              <w:jc w:val="left"/>
            </w:pPr>
            <w:r>
              <w:rPr>
                <w:rFonts w:ascii="Charis SIL" w:hAnsi="Charis SIL" w:cs="Charis SIL" w:eastAsia="Charis SIL"/>
                <w:b w:val="0"/>
                <w:i w:val="0"/>
                <w:color w:val="000000"/>
                <w:sz w:val="16"/>
              </w:rPr>
              <w:t>80</w:t>
            </w:r>
          </w:p>
        </w:tc>
        <w:tc>
          <w:tcPr>
            <w:tcW w:type="dxa" w:w="2420"/>
          </w:tcPr>
          <w:p>
            <w:pPr>
              <w:spacing w:before="0" w:after="40" w:line="208" w:lineRule="exact"/>
              <w:jc w:val="left"/>
            </w:pPr>
            <w:r>
              <w:rPr>
                <w:rFonts w:ascii="Charis SIL" w:hAnsi="Charis SIL" w:cs="Charis SIL" w:eastAsia="Charis SIL"/>
                <w:b w:val="0"/>
                <w:i w:val="0"/>
                <w:color w:val="000000"/>
                <w:sz w:val="16"/>
              </w:rPr>
              <w:t>0.487</w:t>
            </w:r>
          </w:p>
        </w:tc>
        <w:tc>
          <w:tcPr>
            <w:tcW w:type="dxa" w:w="2420"/>
          </w:tcPr>
          <w:p>
            <w:pPr>
              <w:spacing w:before="0" w:after="40" w:line="208" w:lineRule="exact"/>
              <w:jc w:val="left"/>
            </w:pPr>
            <w:r>
              <w:rPr>
                <w:rFonts w:ascii="Charis SIL" w:hAnsi="Charis SIL" w:cs="Charis SIL" w:eastAsia="Charis SIL"/>
                <w:b w:val="0"/>
                <w:i w:val="0"/>
                <w:color w:val="000000"/>
                <w:sz w:val="16"/>
              </w:rPr>
              <w:t>0.421–0.554</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293</w:t>
            </w:r>
          </w:p>
        </w:tc>
        <w:tc>
          <w:tcPr>
            <w:tcW w:type="dxa" w:w="2420"/>
          </w:tcPr>
          <w:p>
            <w:pPr>
              <w:spacing w:before="0" w:after="40" w:line="208" w:lineRule="exact"/>
              <w:jc w:val="left"/>
            </w:pPr>
            <w:r>
              <w:rPr>
                <w:rFonts w:ascii="Charis SIL" w:hAnsi="Charis SIL" w:cs="Charis SIL" w:eastAsia="Charis SIL"/>
                <w:b w:val="0"/>
                <w:i w:val="0"/>
                <w:color w:val="000000"/>
                <w:sz w:val="16"/>
              </w:rPr>
              <w:t>0.506</w:t>
            </w:r>
          </w:p>
        </w:tc>
        <w:tc>
          <w:tcPr>
            <w:tcW w:type="dxa" w:w="2420"/>
          </w:tcPr>
          <w:p>
            <w:pPr>
              <w:spacing w:before="0" w:after="40" w:line="208" w:lineRule="exact"/>
              <w:jc w:val="left"/>
            </w:pPr>
            <w:r>
              <w:rPr>
                <w:rFonts w:ascii="Charis SIL" w:hAnsi="Charis SIL" w:cs="Charis SIL" w:eastAsia="Charis SIL"/>
                <w:b w:val="0"/>
                <w:i w:val="0"/>
                <w:color w:val="000000"/>
                <w:sz w:val="16"/>
              </w:rPr>
              <w:t>0.466–0.546</w:t>
            </w:r>
          </w:p>
        </w:tc>
      </w:tr>
      <w:tr>
        <w:tc>
          <w:tcPr>
            <w:tcW w:type="dxa" w:w="2420"/>
          </w:tcPr>
          <w:p>
            <w:pPr>
              <w:spacing w:before="0" w:after="40" w:line="208" w:lineRule="exact"/>
              <w:jc w:val="left"/>
            </w:pPr>
            <w:r>
              <w:rPr>
                <w:rFonts w:ascii="Charis SIL" w:hAnsi="Charis SIL" w:cs="Charis SIL" w:eastAsia="Charis SIL"/>
                <w:b w:val="0"/>
                <w:i w:val="0"/>
                <w:color w:val="000000"/>
                <w:sz w:val="16"/>
              </w:rPr>
              <w:t>Union, corrected for two directions and two screens</w:t>
            </w:r>
          </w:p>
        </w:tc>
        <w:tc>
          <w:tcPr>
            <w:tcW w:type="dxa" w:w="2420"/>
          </w:tcPr>
          <w:p>
            <w:pPr>
              <w:spacing w:before="0" w:after="40" w:line="208" w:lineRule="exact"/>
              <w:jc w:val="left"/>
            </w:pPr>
            <w:r>
              <w:rPr>
                <w:rFonts w:ascii="Charis SIL" w:hAnsi="Charis SIL" w:cs="Charis SIL" w:eastAsia="Charis SIL"/>
                <w:b w:val="0"/>
                <w:i w:val="0"/>
                <w:color w:val="000000"/>
                <w:sz w:val="16"/>
              </w:rPr>
              <w:t>85</w:t>
            </w:r>
          </w:p>
        </w:tc>
        <w:tc>
          <w:tcPr>
            <w:tcW w:type="dxa" w:w="2420"/>
          </w:tcPr>
          <w:p>
            <w:pPr>
              <w:spacing w:before="0" w:after="40" w:line="208" w:lineRule="exact"/>
              <w:jc w:val="left"/>
            </w:pPr>
            <w:r>
              <w:rPr>
                <w:rFonts w:ascii="Charis SIL" w:hAnsi="Charis SIL" w:cs="Charis SIL" w:eastAsia="Charis SIL"/>
                <w:b w:val="0"/>
                <w:i w:val="0"/>
                <w:color w:val="000000"/>
                <w:sz w:val="16"/>
              </w:rPr>
              <w:t>0.541</w:t>
            </w:r>
          </w:p>
        </w:tc>
        <w:tc>
          <w:tcPr>
            <w:tcW w:type="dxa" w:w="2420"/>
          </w:tcPr>
          <w:p>
            <w:pPr>
              <w:spacing w:before="0" w:after="40" w:line="208" w:lineRule="exact"/>
              <w:jc w:val="left"/>
            </w:pPr>
            <w:r>
              <w:rPr>
                <w:rFonts w:ascii="Charis SIL" w:hAnsi="Charis SIL" w:cs="Charis SIL" w:eastAsia="Charis SIL"/>
                <w:b w:val="0"/>
                <w:i w:val="0"/>
                <w:color w:val="000000"/>
                <w:sz w:val="16"/>
              </w:rPr>
              <w:t>0.464–0.617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0.507</w:t>
            </w:r>
          </w:p>
        </w:tc>
        <w:tc>
          <w:tcPr>
            <w:tcW w:type="dxa" w:w="2420"/>
          </w:tcPr>
          <w:p>
            <w:pPr>
              <w:spacing w:before="0" w:after="40" w:line="208" w:lineRule="exact"/>
              <w:jc w:val="left"/>
            </w:pPr>
            <w:r>
              <w:rPr>
                <w:rFonts w:ascii="Charis SIL" w:hAnsi="Charis SIL" w:cs="Charis SIL" w:eastAsia="Charis SIL"/>
                <w:b w:val="0"/>
                <w:i w:val="0"/>
                <w:color w:val="000000"/>
                <w:sz w:val="16"/>
              </w:rPr>
              <w:t>0.455–0.560</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0.509</w:t>
            </w:r>
          </w:p>
        </w:tc>
        <w:tc>
          <w:tcPr>
            <w:tcW w:type="dxa" w:w="2420"/>
          </w:tcPr>
          <w:p>
            <w:pPr>
              <w:spacing w:before="0" w:after="40" w:line="208" w:lineRule="exact"/>
              <w:jc w:val="left"/>
            </w:pPr>
            <w:r>
              <w:rPr>
                <w:rFonts w:ascii="Charis SIL" w:hAnsi="Charis SIL" w:cs="Charis SIL" w:eastAsia="Charis SIL"/>
                <w:b w:val="0"/>
                <w:i w:val="0"/>
                <w:color w:val="000000"/>
                <w:sz w:val="16"/>
              </w:rPr>
              <w:t>0.457–0.561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148</w:t>
            </w:r>
          </w:p>
        </w:tc>
        <w:tc>
          <w:tcPr>
            <w:tcW w:type="dxa" w:w="2420"/>
          </w:tcPr>
          <w:p>
            <w:pPr>
              <w:spacing w:before="0" w:after="40" w:line="208" w:lineRule="exact"/>
              <w:jc w:val="left"/>
            </w:pPr>
            <w:r>
              <w:rPr>
                <w:rFonts w:ascii="Charis SIL" w:hAnsi="Charis SIL" w:cs="Charis SIL" w:eastAsia="Charis SIL"/>
                <w:b w:val="0"/>
                <w:i w:val="0"/>
                <w:color w:val="000000"/>
                <w:sz w:val="16"/>
              </w:rPr>
              <w:t>0.517</w:t>
            </w:r>
          </w:p>
        </w:tc>
        <w:tc>
          <w:tcPr>
            <w:tcW w:type="dxa" w:w="2420"/>
          </w:tcPr>
          <w:p>
            <w:pPr>
              <w:spacing w:before="0" w:after="40" w:line="208" w:lineRule="exact"/>
              <w:jc w:val="left"/>
            </w:pPr>
            <w:r>
              <w:rPr>
                <w:rFonts w:ascii="Charis SIL" w:hAnsi="Charis SIL" w:cs="Charis SIL" w:eastAsia="Charis SIL"/>
                <w:b w:val="0"/>
                <w:i w:val="0"/>
                <w:color w:val="000000"/>
                <w:sz w:val="16"/>
              </w:rPr>
              <w:t>0.463–0.571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0.433–0.781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0.604 (0.528–0.675)</w:t>
      </w:r>
      <w:r>
        <w:rPr>
          <w:rFonts w:ascii="Charis SIL" w:hAnsi="Charis SIL" w:cs="Charis SIL" w:eastAsia="Charis SIL"/>
          <w:b w:val="0"/>
          <w:i w:val="0"/>
          <w:color w:val="000000"/>
          <w:sz w:val="20"/>
        </w:rPr>
        <w:t>, an interval that does not contain 0.5, against 0.524 (0.459–0.590) in the reporter screen, and in the yeast cohort the same quantity had the largest comparator point estimate at 0.587 without excluding 0.5. Its paired difference against distance on the same fitness sites is +0.044 (−0.025 to +0.115)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a feature that uses no structure at all outranks the declared predictor, on the paired comparison rather than on its own. The smallest gap in sequence position to an eligible annotated residue gives 0.558 (0.492–0.624), an interval that contains 0.5, so it does not separate the classes on its own account. Its paired difference against distance is </w:t>
      </w:r>
      <w:r>
        <w:rPr>
          <w:rFonts w:ascii="Charis SIL" w:hAnsi="Charis SIL" w:cs="Charis SIL" w:eastAsia="Charis SIL"/>
          <w:b/>
          <w:i w:val="0"/>
          <w:color w:val="000000"/>
          <w:sz w:val="20"/>
        </w:rPr>
        <w:t>+0.071 (+0.005 to +0.137)</w:t>
      </w:r>
      <w:r>
        <w:rPr>
          <w:rFonts w:ascii="Charis SIL" w:hAnsi="Charis SIL" w:cs="Charis SIL" w:eastAsia="Charis SIL"/>
          <w:b w:val="0"/>
          <w:i w:val="0"/>
          <w:color w:val="000000"/>
          <w:sz w:val="20"/>
        </w:rPr>
        <w:t>, which excludes zero and is the only paired difference in either cohort that does. Every other comparison in both screens contains zero. Both this and the burial result above are post hoc, and neither is adjusted for the number of features and endpoints examined; they are the strongest leads here, not findings.</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99,684</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180 of 111,600</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48 proteins contribute any within-protein comparison at all, against 754 and 745 that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and the answer is Table 4. No aggregation in either cohort puts the declared predictor above chance within a protein.</w:t>
      </w:r>
    </w:p>
    <w:p>
      <w:pPr>
        <w:spacing w:before="0" w:after="200" w:line="284" w:lineRule="exact"/>
        <w:jc w:val="left"/>
      </w:pPr>
      <w:r>
        <w:rPr>
          <w:rFonts w:ascii="Charis SIL" w:hAnsi="Charis SIL" w:cs="Charis SIL" w:eastAsia="Charis SIL"/>
          <w:b/>
          <w:i w:val="0"/>
          <w:color w:val="000000"/>
          <w:sz w:val="20"/>
        </w:rPr>
        <w:t>Table 4.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180</w:t>
            </w:r>
          </w:p>
        </w:tc>
        <w:tc>
          <w:tcPr>
            <w:tcW w:type="dxa" w:w="1936"/>
          </w:tcPr>
          <w:p>
            <w:pPr>
              <w:spacing w:before="0" w:after="40" w:line="208" w:lineRule="exact"/>
              <w:jc w:val="left"/>
            </w:pPr>
            <w:r>
              <w:rPr>
                <w:rFonts w:ascii="Charis SIL" w:hAnsi="Charis SIL" w:cs="Charis SIL" w:eastAsia="Charis SIL"/>
                <w:b w:val="0"/>
                <w:i w:val="0"/>
                <w:color w:val="000000"/>
                <w:sz w:val="16"/>
              </w:rPr>
              <w:t>0.422 (0.322–0.521)</w:t>
            </w:r>
          </w:p>
        </w:tc>
        <w:tc>
          <w:tcPr>
            <w:tcW w:type="dxa" w:w="1936"/>
          </w:tcPr>
          <w:p>
            <w:pPr>
              <w:spacing w:before="0" w:after="40" w:line="208" w:lineRule="exact"/>
              <w:jc w:val="left"/>
            </w:pPr>
            <w:r>
              <w:rPr>
                <w:rFonts w:ascii="Charis SIL" w:hAnsi="Charis SIL" w:cs="Charis SIL" w:eastAsia="Charis SIL"/>
                <w:b w:val="0"/>
                <w:i w:val="0"/>
                <w:color w:val="000000"/>
                <w:sz w:val="16"/>
              </w:rPr>
              <w:t>0.384 (0.272–0.498)</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Five of the six intervals contain 0.5. The exception is the reporter screen's equal-protein-weight estimate, whose upper endpoint is 0.498; it points the opposite way to the hypothesis, meaning greater distance associated with being called. It rests on 48 proteins, the pair-weighted aggregation of the same data includes 0.5, the fitness screen's two aggregations point the other way, and it is one estimate in a post hoc family that carries no multiplicity adjustment. It is reported because it is the estimate the design produces, not as evidence of an inverse relationship.</w:t>
      </w:r>
    </w:p>
    <w:p>
      <w:pPr>
        <w:spacing w:before="0" w:after="200" w:line="284" w:lineRule="exact"/>
        <w:jc w:val="left"/>
      </w:pPr>
      <w:r>
        <w:rPr>
          <w:rFonts w:ascii="Charis SIL" w:hAnsi="Charis SIL" w:cs="Charis SIL" w:eastAsia="Charis SIL"/>
          <w:b w:val="0"/>
          <w:i w:val="0"/>
          <w:color w:val="000000"/>
          <w:sz w:val="20"/>
        </w:rPr>
        <w:t>What this paper can therefore support is an audit and calibration of a mostly cross-protein ranking. It does not evaluate within-protein prioritisation, in the sense of establishing what that ranking is worth; it establishes only that no aggregation tried here puts it above chance,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287 proteins</w:t>
      </w:r>
      <w:r>
        <w:rPr>
          <w:rFonts w:ascii="Charis SIL" w:hAnsi="Charis SIL" w:cs="Charis SIL" w:eastAsia="Charis SIL"/>
          <w:b w:val="0"/>
          <w:i w:val="0"/>
          <w:color w:val="000000"/>
          <w:sz w:val="20"/>
        </w:rPr>
        <w:t xml:space="preserve"> here: 0.575 (0.446–0.699) on the fitness screen and 0.491 (0.391–0.590)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0.646 (0.565–0.723)</w:t>
      </w:r>
      <w:r>
        <w:rPr>
          <w:rFonts w:ascii="Charis SIL" w:hAnsi="Charis SIL" w:cs="Charis SIL" w:eastAsia="Charis SIL"/>
          <w:b w:val="0"/>
          <w:i w:val="0"/>
          <w:color w:val="000000"/>
          <w:sz w:val="20"/>
        </w:rPr>
        <w:t xml:space="preserve"> on the 997 sites carrying a score. On the reporter screen the same feature gives 0.565 (0.486–0.643),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Restricted to those 39 threonine-to-alanine sites the AUC is 0.470 (0.212–0.733), an interval too wide to carry any reading. Restricting instead to the 425 sites edited by a guide that made only one change, so no bystander edit is present, gives 0.516 (0.392–0.641) on the fitness screen and 0.527 (0.415–0.639) on the reporter screen. Li et al. [23],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99,684 and 180 of 111,600, and Table 4 estimates the quantity directly (§2.7.3) and only 39 and 48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The review behind this revision.</w:t>
      </w:r>
      <w:r>
        <w:rPr>
          <w:rFonts w:ascii="Charis SIL" w:hAnsi="Charis SIL" w:cs="Charis SIL" w:eastAsia="Charis SIL"/>
          <w:b w:val="0"/>
          <w:i w:val="0"/>
          <w:color w:val="000000"/>
          <w:sz w:val="20"/>
        </w:rPr>
        <w:t xml:space="preserve"> Revisions to this manuscript responded in part to simulated reviews in which every reviewer was an AI agent running on one model family. That is not peer review, and agreement among those reviewers is not independent replication. Supplementary Note S3 records what was run and when.</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val="0"/>
          <w:i w:val="0"/>
          <w:color w:val="000000"/>
          <w:sz w:val="20"/>
        </w:rPr>
        <w:t>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sequence and annotation features the source screen already publishes did at least as well on this cohort as geometry read off models of single proteins.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793 protein clusters against 48, an experimental-evidence arm that retains 512 sites where the yeast design retains 24, and the finding that the across-protein architecture and the peptide-bond artefact are not particular to yeast. It does not contribute a tighter interval: the declared human intervals are wider than the yeast one, and no precision comparison between the cohorts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A later methods review identified five defects in the first cohort build: Supplementary Data 6 was being used to decide which sites were eligible; sites coinciding with an annotated target had no settled treatment; the HOG1 coordinate conflicted between workbook and article; repeat strains had not been combined; and a two-proportion power calculation was invalid. We rebuilt the cohort, averaged the profiles of repeat strains, and removed the power and negative-binomial claims. The decision to drop target-coincident sites from the primary analysis was made after the outcome had been inspected, so the inclusive cohort, which keeps them at their literal distance, is reported alongside throughout as a named check.</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[13].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[13].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which are AlphaFold2 predictions of each protein on its own (monomer v2.0) [14,15],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[16,17]. Relative solvent accessibility was computed on the protein alone as Shrake–Rupley solvent-accessible surface area [18] divided by the per-residue maxima of Tien et al. [19].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[20],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[21],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human builder does not carry the yeast builder's sequence and model-version checks, and the table it starts from has no generator in the deposited materials, so this cohort cannot at present be rebuilt end to end from source. Sites were kept when the model reproduced the reviewed sequence at that position and the protein carried at least one eligible annotated residue, leaving 1,475 sites in 793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6,950 mapping to a reviewed UniProt entry, to 6,148 whose residue matches the canonical sequence at that position, to 1,595 sites in 818 proteins carrying at least one eligible annotated residue, to </w:t>
      </w:r>
      <w:r>
        <w:rPr>
          <w:rFonts w:ascii="Charis SIL" w:hAnsi="Charis SIL" w:cs="Charis SIL" w:eastAsia="Charis SIL"/>
          <w:b/>
          <w:i w:val="0"/>
          <w:color w:val="000000"/>
          <w:sz w:val="20"/>
        </w:rPr>
        <w:t>1,475 sites in 793 proteins</w:t>
      </w:r>
      <w:r>
        <w:rPr>
          <w:rFonts w:ascii="Charis SIL" w:hAnsi="Charis SIL" w:cs="Charis SIL" w:eastAsia="Charis SIL"/>
          <w:b w:val="0"/>
          <w:i w:val="0"/>
          <w:color w:val="000000"/>
          <w:sz w:val="20"/>
        </w:rPr>
        <w:t xml:space="preserve"> with a distance.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Editor identity, ABE8e or BE4,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The two screens are analysed separately and each supplies its own declared outcome: a site counts as affected in a screen when twice that screen's released per-site value is below 0.05. The doubling corrects the two directions MAGeCK reports inside a screen; keeping the screens apart leaves no union to correct. §2.7 records that the released columns track the smaller of the two directional values on most rows but not all, and that the construction of the remaining rows is not established. The first version of this analysis pooled the two screens at an uncorrected 0.05 and is withdrawn; that arm and six other candidate definitions are reported in Table 3,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[21]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One limit is recorded rather than worked around: the table the human build starts from has no generator in the deposited materials, and the human builder does not carry the sequence and model-version checks the yeast builder applies, so that cohort cannot at present be rebuilt from source end to end.</w:t>
      </w:r>
    </w:p>
    <w:p>
      <w:pPr>
        <w:spacing w:before="240" w:after="120" w:line="284" w:lineRule="exact"/>
        <w:jc w:val="left"/>
      </w:pPr>
      <w:r>
        <w:rPr>
          <w:rFonts w:ascii="Charis SIL" w:hAnsi="Charis SIL" w:cs="Charis SIL" w:eastAsia="Charis SIL"/>
          <w:b/>
          <w:i w:val="0"/>
          <w:color w:val="000000"/>
          <w:sz w:val="25"/>
        </w:rPr>
        <w:t>Ethics statement</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 and HEK293 lines.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No specific funding supported this secondary analysis.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report no competing interests.</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Kyle Nguyen: conceptualization, data curation, formal analysis, investigation, methodology, software, validation, visualization, writing—original draft, writing—review and editing.</w:t>
      </w:r>
    </w:p>
    <w:p>
      <w:pPr>
        <w:spacing w:before="0" w:after="200" w:line="284" w:lineRule="exact"/>
        <w:jc w:val="left"/>
      </w:pPr>
      <w:r>
        <w:rPr>
          <w:rFonts w:ascii="Charis SIL" w:hAnsi="Charis SIL" w:cs="Charis SIL" w:eastAsia="Charis SIL"/>
          <w:b w:val="0"/>
          <w:i w:val="0"/>
          <w:color w:val="000000"/>
          <w:sz w:val="20"/>
        </w:rPr>
        <w:t>Arkady Marchenko: conceptualization, writing—review and editing.</w:t>
      </w:r>
    </w:p>
    <w:p>
      <w:pPr>
        <w:spacing w:before="0" w:after="200" w:line="284" w:lineRule="exact"/>
        <w:jc w:val="left"/>
      </w:pPr>
      <w:r>
        <w:rPr>
          <w:rFonts w:ascii="Charis SIL" w:hAnsi="Charis SIL" w:cs="Charis SIL" w:eastAsia="Charis SIL"/>
          <w:b w:val="0"/>
          <w:i w:val="0"/>
          <w:color w:val="000000"/>
          <w:sz w:val="20"/>
        </w:rPr>
        <w:t>Both authors have read and approved this version.</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AI disclosure statement</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240" w:after="120" w:line="284" w:lineRule="exact"/>
        <w:jc w:val="left"/>
      </w:pPr>
      <w:r>
        <w:rPr>
          <w:rFonts w:ascii="Charis SIL" w:hAnsi="Charis SIL" w:cs="Charis SIL" w:eastAsia="Charis SIL"/>
          <w:b/>
          <w:i w:val="0"/>
          <w:color w:val="000000"/>
          <w:sz w:val="25"/>
        </w:rPr>
        <w:t>Tables</w:t>
      </w:r>
    </w:p>
    <w:p>
      <w:pPr>
        <w:spacing w:before="240" w:after="120" w:line="284" w:lineRule="exact"/>
        <w:jc w:val="left"/>
      </w:pPr>
      <w:r>
        <w:rPr>
          <w:rFonts w:ascii="Charis SIL" w:hAnsi="Charis SIL" w:cs="Charis SIL" w:eastAsia="Charis SIL"/>
          <w:b/>
          <w:i w:val="0"/>
          <w:color w:val="000000"/>
          <w:sz w:val="22"/>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spacing w:before="240" w:after="120" w:line="284" w:lineRule="exact"/>
        <w:jc w:val="left"/>
      </w:pPr>
      <w:r>
        <w:rPr>
          <w:rFonts w:ascii="Charis SIL" w:hAnsi="Charis SIL" w:cs="Charis SIL" w:eastAsia="Charis SIL"/>
          <w:b/>
          <w:i w:val="0"/>
          <w:color w:val="000000"/>
          <w:sz w:val="22"/>
        </w:rPr>
        <w:t>Table 2. Selected results</w:t>
      </w:r>
    </w:p>
    <w:p>
      <w:pPr>
        <w:spacing w:before="0" w:after="200" w:line="284" w:lineRule="exact"/>
        <w:jc w:val="left"/>
      </w:pPr>
      <w:r>
        <w:rPr>
          <w:rFonts w:ascii="Charis SIL" w:hAnsi="Charis SIL" w:cs="Charis SIL" w:eastAsia="Charis SIL"/>
          <w:b w:val="0"/>
          <w:i w:val="0"/>
          <w:color w:val="000000"/>
          <w:sz w:val="20"/>
        </w:rPr>
        <w:t>Values are AUCs — the chance an affected site ranks ahead of an unaffected one — unless the row names another quantity.</w:t>
      </w:r>
    </w:p>
    <w:tbl>
      <w:tblPr>
        <w:tblW w:type="auto" w:w="0"/>
        <w:jc w:val="left"/>
        <w:tblLayout w:type="autofit"/>
        <w:tblLook w:firstColumn="1" w:firstRow="1" w:lastColumn="0" w:lastRow="0" w:noHBand="0" w:noVBand="1" w:val="04A0"/>
      </w:tblPr>
      <w:tblGrid>
        <w:gridCol w:w="1936"/>
        <w:gridCol w:w="1936"/>
        <w:gridCol w:w="1936"/>
        <w:gridCol w:w="1936"/>
        <w:gridCol w:w="1936"/>
      </w:tblGrid>
      <w:t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primary cohort</w:t>
            </w:r>
          </w:p>
        </w:tc>
        <w:tc>
          <w:tcPr>
            <w:tcW w:type="dxa" w:w="1936"/>
          </w:tcPr>
          <w:p>
            <w:pPr>
              <w:spacing w:before="0" w:after="40" w:line="208" w:lineRule="exact"/>
              <w:jc w:val="left"/>
            </w:pPr>
            <w:r>
              <w:rPr>
                <w:rFonts w:ascii="Charis SIL" w:hAnsi="Charis SIL" w:cs="Charis SIL" w:eastAsia="Charis SIL"/>
                <w:b w:val="0"/>
                <w:i w:val="0"/>
                <w:color w:val="000000"/>
                <w:sz w:val="16"/>
              </w:rPr>
              <w:t>163 replaced sites, 48 proteins</w:t>
            </w:r>
          </w:p>
        </w:tc>
        <w:tc>
          <w:tcPr>
            <w:tcW w:type="dxa" w:w="1936"/>
          </w:tcPr>
          <w:p>
            <w:pPr>
              <w:spacing w:before="0" w:after="40" w:line="208" w:lineRule="exact"/>
              <w:jc w:val="left"/>
            </w:pPr>
            <w:r>
              <w:rPr>
                <w:rFonts w:ascii="Charis SIL" w:hAnsi="Charis SIL" w:cs="Charis SIL" w:eastAsia="Charis SIL"/>
                <w:b w:val="0"/>
                <w:i w:val="0"/>
                <w:color w:val="000000"/>
                <w:sz w:val="16"/>
              </w:rPr>
              <w:t>0.527</w:t>
            </w:r>
          </w:p>
        </w:tc>
        <w:tc>
          <w:tcPr>
            <w:tcW w:type="dxa" w:w="1936"/>
          </w:tcPr>
          <w:p>
            <w:pPr>
              <w:spacing w:before="0" w:after="40" w:line="208" w:lineRule="exact"/>
              <w:jc w:val="left"/>
            </w:pPr>
            <w:r>
              <w:rPr>
                <w:rFonts w:ascii="Charis SIL" w:hAnsi="Charis SIL" w:cs="Charis SIL" w:eastAsia="Charis SIL"/>
                <w:b w:val="0"/>
                <w:i w:val="0"/>
                <w:color w:val="000000"/>
                <w:sz w:val="16"/>
              </w:rPr>
              <w:t>0.417–0.632</w:t>
            </w:r>
          </w:p>
        </w:tc>
        <w:tc>
          <w:tcPr>
            <w:tcW w:type="dxa" w:w="1936"/>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inclusive 0 Å cohort</w:t>
            </w:r>
          </w:p>
        </w:tc>
        <w:tc>
          <w:tcPr>
            <w:tcW w:type="dxa" w:w="1936"/>
          </w:tcPr>
          <w:p>
            <w:pPr>
              <w:spacing w:before="0" w:after="40" w:line="208" w:lineRule="exact"/>
              <w:jc w:val="left"/>
            </w:pPr>
            <w:r>
              <w:rPr>
                <w:rFonts w:ascii="Charis SIL" w:hAnsi="Charis SIL" w:cs="Charis SIL" w:eastAsia="Charis SIL"/>
                <w:b w:val="0"/>
                <w:i w:val="0"/>
                <w:color w:val="000000"/>
                <w:sz w:val="16"/>
              </w:rPr>
              <w:t>166, 50 proteins</w:t>
            </w:r>
          </w:p>
        </w:tc>
        <w:tc>
          <w:tcPr>
            <w:tcW w:type="dxa" w:w="1936"/>
          </w:tcPr>
          <w:p>
            <w:pPr>
              <w:spacing w:before="0" w:after="40" w:line="208" w:lineRule="exact"/>
              <w:jc w:val="left"/>
            </w:pPr>
            <w:r>
              <w:rPr>
                <w:rFonts w:ascii="Charis SIL" w:hAnsi="Charis SIL" w:cs="Charis SIL" w:eastAsia="Charis SIL"/>
                <w:b w:val="0"/>
                <w:i w:val="0"/>
                <w:color w:val="000000"/>
                <w:sz w:val="16"/>
              </w:rPr>
              <w:t>0.544</w:t>
            </w:r>
          </w:p>
        </w:tc>
        <w:tc>
          <w:tcPr>
            <w:tcW w:type="dxa" w:w="1936"/>
          </w:tcPr>
          <w:p>
            <w:pPr>
              <w:spacing w:before="0" w:after="40" w:line="208" w:lineRule="exact"/>
              <w:jc w:val="left"/>
            </w:pPr>
            <w:r>
              <w:rPr>
                <w:rFonts w:ascii="Charis SIL" w:hAnsi="Charis SIL" w:cs="Charis SIL" w:eastAsia="Charis SIL"/>
                <w:b w:val="0"/>
                <w:i w:val="0"/>
                <w:color w:val="000000"/>
                <w:sz w:val="16"/>
              </w:rPr>
              <w:t>0.436–0.649</w:t>
            </w:r>
          </w:p>
        </w:tc>
        <w:tc>
          <w:tcPr>
            <w:tcW w:type="dxa" w:w="1936"/>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936"/>
          </w:tcPr>
          <w:p>
            <w:pPr>
              <w:spacing w:before="0" w:after="40" w:line="208" w:lineRule="exact"/>
              <w:jc w:val="left"/>
            </w:pPr>
            <w:r>
              <w:rPr>
                <w:rFonts w:ascii="Charis SIL" w:hAnsi="Charis SIL" w:cs="Charis SIL" w:eastAsia="Charis SIL"/>
                <w:b w:val="0"/>
                <w:i w:val="0"/>
                <w:color w:val="000000"/>
                <w:sz w:val="16"/>
              </w:rPr>
              <w:t>112 replaced sites, 23 proteins, 176 pairs</w:t>
            </w:r>
          </w:p>
        </w:tc>
        <w:tc>
          <w:tcPr>
            <w:tcW w:type="dxa" w:w="1936"/>
          </w:tcPr>
          <w:p>
            <w:pPr>
              <w:spacing w:before="0" w:after="40" w:line="208" w:lineRule="exact"/>
              <w:jc w:val="left"/>
            </w:pPr>
            <w:r>
              <w:rPr>
                <w:rFonts w:ascii="Charis SIL" w:hAnsi="Charis SIL" w:cs="Charis SIL" w:eastAsia="Charis SIL"/>
                <w:b w:val="0"/>
                <w:i w:val="0"/>
                <w:color w:val="000000"/>
                <w:sz w:val="16"/>
              </w:rPr>
              <w:t>0.528</w:t>
            </w:r>
          </w:p>
        </w:tc>
        <w:tc>
          <w:tcPr>
            <w:tcW w:type="dxa" w:w="1936"/>
          </w:tcPr>
          <w:p>
            <w:pPr>
              <w:spacing w:before="0" w:after="40" w:line="208" w:lineRule="exact"/>
              <w:jc w:val="left"/>
            </w:pPr>
            <w:r>
              <w:rPr>
                <w:rFonts w:ascii="Charis SIL" w:hAnsi="Charis SIL" w:cs="Charis SIL" w:eastAsia="Charis SIL"/>
                <w:b w:val="0"/>
                <w:i w:val="0"/>
                <w:color w:val="000000"/>
                <w:sz w:val="16"/>
              </w:rPr>
              <w:t>0.368–0.709</w:t>
            </w:r>
          </w:p>
        </w:tc>
        <w:tc>
          <w:tcPr>
            <w:tcW w:type="dxa" w:w="1936"/>
          </w:tcPr>
          <w:p>
            <w:pPr>
              <w:spacing w:before="0" w:after="40" w:line="208" w:lineRule="exact"/>
              <w:jc w:val="left"/>
            </w:pPr>
            <w:r>
              <w:rPr>
                <w:rFonts w:ascii="Charis SIL" w:hAnsi="Charis SIL" w:cs="Charis SIL" w:eastAsia="Charis SIL"/>
                <w:b w:val="0"/>
                <w:i w:val="0"/>
                <w:color w:val="000000"/>
                <w:sz w:val="16"/>
              </w:rPr>
              <w:t>Designated within-protein quantity;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936"/>
          </w:tcPr>
          <w:p>
            <w:pPr>
              <w:spacing w:before="0" w:after="40" w:line="208" w:lineRule="exact"/>
              <w:jc w:val="left"/>
            </w:pPr>
            <w:r>
              <w:rPr>
                <w:rFonts w:ascii="Charis SIL" w:hAnsi="Charis SIL" w:cs="Charis SIL" w:eastAsia="Charis SIL"/>
                <w:b w:val="0"/>
                <w:i w:val="0"/>
                <w:color w:val="000000"/>
                <w:sz w:val="16"/>
              </w:rPr>
              <w:t>23 proteins</w:t>
            </w:r>
          </w:p>
        </w:tc>
        <w:tc>
          <w:tcPr>
            <w:tcW w:type="dxa" w:w="1936"/>
          </w:tcPr>
          <w:p>
            <w:pPr>
              <w:spacing w:before="0" w:after="40" w:line="208" w:lineRule="exact"/>
              <w:jc w:val="left"/>
            </w:pPr>
            <w:r>
              <w:rPr>
                <w:rFonts w:ascii="Charis SIL" w:hAnsi="Charis SIL" w:cs="Charis SIL" w:eastAsia="Charis SIL"/>
                <w:b w:val="0"/>
                <w:i w:val="0"/>
                <w:color w:val="000000"/>
                <w:sz w:val="16"/>
              </w:rPr>
              <w:t>0.497</w:t>
            </w:r>
          </w:p>
        </w:tc>
        <w:tc>
          <w:tcPr>
            <w:tcW w:type="dxa" w:w="1936"/>
          </w:tcPr>
          <w:p>
            <w:pPr>
              <w:spacing w:before="0" w:after="40" w:line="208" w:lineRule="exact"/>
              <w:jc w:val="left"/>
            </w:pPr>
            <w:r>
              <w:rPr>
                <w:rFonts w:ascii="Charis SIL" w:hAnsi="Charis SIL" w:cs="Charis SIL" w:eastAsia="Charis SIL"/>
                <w:b w:val="0"/>
                <w:i w:val="0"/>
                <w:color w:val="000000"/>
                <w:sz w:val="16"/>
              </w:rPr>
              <w:t>0.351–0.642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Minimum sequence separation to an eligible target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0.550</w:t>
            </w:r>
          </w:p>
        </w:tc>
        <w:tc>
          <w:tcPr>
            <w:tcW w:type="dxa" w:w="1936"/>
          </w:tcPr>
          <w:p>
            <w:pPr>
              <w:spacing w:before="0" w:after="40" w:line="208" w:lineRule="exact"/>
              <w:jc w:val="left"/>
            </w:pPr>
            <w:r>
              <w:rPr>
                <w:rFonts w:ascii="Charis SIL" w:hAnsi="Charis SIL" w:cs="Charis SIL" w:eastAsia="Charis SIL"/>
                <w:b w:val="0"/>
                <w:i w:val="0"/>
                <w:color w:val="000000"/>
                <w:sz w:val="16"/>
              </w:rPr>
              <w:t>0.434–0.653</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0.489–0.672</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Label shuffling across the whole cohort, two-sided </w:t>
            </w:r>
            <w:r>
              <w:rPr>
                <w:rFonts w:ascii="Charis SIL" w:hAnsi="Charis SIL" w:cs="Charis SIL" w:eastAsia="Charis SIL"/>
                <w:b w:val="0"/>
                <w:i/>
                <w:color w:val="000000"/>
                <w:sz w:val="16"/>
              </w:rPr>
              <w:t>p</w:t>
            </w:r>
          </w:p>
        </w:tc>
        <w:tc>
          <w:tcPr>
            <w:tcW w:type="dxa" w:w="1936"/>
          </w:tcPr>
          <w:p>
            <w:pPr>
              <w:spacing w:before="0" w:after="40" w:line="208" w:lineRule="exact"/>
              <w:jc w:val="left"/>
            </w:pPr>
            <w:r>
              <w:rPr>
                <w:rFonts w:ascii="Charis SIL" w:hAnsi="Charis SIL" w:cs="Charis SIL" w:eastAsia="Charis SIL"/>
                <w:b w:val="0"/>
                <w:i w:val="0"/>
                <w:color w:val="000000"/>
                <w:sz w:val="16"/>
              </w:rPr>
              <w:t>163; 20,000 permutations</w:t>
            </w:r>
          </w:p>
        </w:tc>
        <w:tc>
          <w:tcPr>
            <w:tcW w:type="dxa" w:w="1936"/>
          </w:tcPr>
          <w:p>
            <w:pPr>
              <w:spacing w:before="0" w:after="40" w:line="208" w:lineRule="exact"/>
              <w:jc w:val="left"/>
            </w:pPr>
            <w:r>
              <w:rPr>
                <w:rFonts w:ascii="Charis SIL" w:hAnsi="Charis SIL" w:cs="Charis SIL" w:eastAsia="Charis SIL"/>
                <w:b w:val="0"/>
                <w:i w:val="0"/>
                <w:color w:val="000000"/>
                <w:sz w:val="16"/>
              </w:rPr>
              <w:t>0.55</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Post hoc null</w:t>
            </w:r>
          </w:p>
        </w:tc>
      </w:tr>
      <w:tr>
        <w:tc>
          <w:tcPr>
            <w:tcW w:type="dxa" w:w="1936"/>
          </w:tcPr>
          <w:p>
            <w:pPr>
              <w:spacing w:before="0" w:after="40" w:line="208" w:lineRule="exact"/>
              <w:jc w:val="left"/>
            </w:pPr>
            <w:r>
              <w:rPr>
                <w:rFonts w:ascii="Charis SIL" w:hAnsi="Charis SIL" w:cs="Charis SIL" w:eastAsia="Charis SIL"/>
                <w:b w:val="0"/>
                <w:i w:val="0"/>
                <w:color w:val="000000"/>
                <w:sz w:val="16"/>
              </w:rPr>
              <w:t>SIFT, primary common support</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0.606</w:t>
            </w:r>
          </w:p>
        </w:tc>
        <w:tc>
          <w:tcPr>
            <w:tcW w:type="dxa" w:w="1936"/>
          </w:tcPr>
          <w:p>
            <w:pPr>
              <w:spacing w:before="0" w:after="40" w:line="208" w:lineRule="exact"/>
              <w:jc w:val="left"/>
            </w:pPr>
            <w:r>
              <w:rPr>
                <w:rFonts w:ascii="Charis SIL" w:hAnsi="Charis SIL" w:cs="Charis SIL" w:eastAsia="Charis SIL"/>
                <w:b w:val="0"/>
                <w:i w:val="0"/>
                <w:color w:val="000000"/>
                <w:sz w:val="16"/>
              </w:rPr>
              <w:t>0.522–0.690</w:t>
            </w:r>
          </w:p>
        </w:tc>
        <w:tc>
          <w:tcPr>
            <w:tcW w:type="dxa" w:w="1936"/>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936"/>
          </w:tcPr>
          <w:p>
            <w:pPr>
              <w:spacing w:before="0" w:after="40" w:line="208" w:lineRule="exact"/>
              <w:jc w:val="left"/>
            </w:pPr>
            <w:r>
              <w:rPr>
                <w:rFonts w:ascii="Charis SIL" w:hAnsi="Charis SIL" w:cs="Charis SIL" w:eastAsia="Charis SIL"/>
                <w:b/>
                <w:i w:val="0"/>
                <w:color w:val="000000"/>
                <w:sz w:val="16"/>
              </w:rPr>
              <w:t>Difference in AUC</w:t>
            </w:r>
            <w:r>
              <w:rPr>
                <w:rFonts w:ascii="Charis SIL" w:hAnsi="Charis SIL" w:cs="Charis SIL" w:eastAsia="Charis SIL"/>
                <w:b w:val="0"/>
                <w:i w:val="0"/>
                <w:color w:val="000000"/>
                <w:sz w:val="16"/>
              </w:rPr>
              <w:t>, SIFT minus distance, paired</w:t>
            </w:r>
          </w:p>
        </w:tc>
        <w:tc>
          <w:tcPr>
            <w:tcW w:type="dxa" w:w="1936"/>
          </w:tcPr>
          <w:p>
            <w:pPr>
              <w:spacing w:before="0" w:after="40" w:line="208" w:lineRule="exact"/>
              <w:jc w:val="left"/>
            </w:pPr>
            <w:r>
              <w:rPr>
                <w:rFonts w:ascii="Charis SIL" w:hAnsi="Charis SIL" w:cs="Charis SIL" w:eastAsia="Charis SIL"/>
                <w:b w:val="0"/>
                <w:i w:val="0"/>
                <w:color w:val="000000"/>
                <w:sz w:val="16"/>
              </w:rPr>
              <w:t>152</w:t>
            </w:r>
          </w:p>
        </w:tc>
        <w:tc>
          <w:tcPr>
            <w:tcW w:type="dxa" w:w="1936"/>
          </w:tcPr>
          <w:p>
            <w:pPr>
              <w:spacing w:before="0" w:after="40" w:line="208" w:lineRule="exact"/>
              <w:jc w:val="left"/>
            </w:pPr>
            <w:r>
              <w:rPr>
                <w:rFonts w:ascii="Charis SIL" w:hAnsi="Charis SIL" w:cs="Charis SIL" w:eastAsia="Charis SIL"/>
                <w:b w:val="0"/>
                <w:i w:val="0"/>
                <w:color w:val="000000"/>
                <w:sz w:val="16"/>
              </w:rPr>
              <w:t>0.074</w:t>
            </w:r>
          </w:p>
        </w:tc>
        <w:tc>
          <w:tcPr>
            <w:tcW w:type="dxa" w:w="1936"/>
          </w:tcPr>
          <w:p>
            <w:pPr>
              <w:spacing w:before="0" w:after="40" w:line="208" w:lineRule="exact"/>
              <w:jc w:val="left"/>
            </w:pPr>
            <w:r>
              <w:rPr>
                <w:rFonts w:ascii="Charis SIL" w:hAnsi="Charis SIL" w:cs="Charis SIL" w:eastAsia="Charis SIL"/>
                <w:b w:val="0"/>
                <w:i w:val="0"/>
                <w:color w:val="000000"/>
                <w:sz w:val="16"/>
              </w:rPr>
              <w:t>−0.037 to 0.192</w:t>
            </w:r>
          </w:p>
        </w:tc>
        <w:tc>
          <w:tcPr>
            <w:tcW w:type="dxa" w:w="1936"/>
          </w:tcPr>
          <w:p>
            <w:pPr>
              <w:spacing w:before="0" w:after="40" w:line="208" w:lineRule="exact"/>
              <w:jc w:val="left"/>
            </w:pPr>
            <w:r>
              <w:rPr>
                <w:rFonts w:ascii="Charis SIL" w:hAnsi="Charis SIL" w:cs="Charis SIL" w:eastAsia="Charis SIL"/>
                <w:b w:val="0"/>
                <w:i w:val="0"/>
                <w:color w:val="000000"/>
                <w:sz w:val="16"/>
              </w:rPr>
              <w:t>Post hoc</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0.77</w:t>
            </w:r>
          </w:p>
        </w:tc>
        <w:tc>
          <w:tcPr>
            <w:tcW w:type="dxa" w:w="1936"/>
          </w:tcPr>
          <w:p>
            <w:pPr>
              <w:spacing w:before="0" w:after="40" w:line="208" w:lineRule="exact"/>
              <w:jc w:val="left"/>
            </w:pPr>
            <w:r>
              <w:rPr>
                <w:rFonts w:ascii="Charis SIL" w:hAnsi="Charis SIL" w:cs="Charis SIL" w:eastAsia="Charis SIL"/>
                <w:b w:val="0"/>
                <w:i w:val="0"/>
                <w:color w:val="000000"/>
                <w:sz w:val="16"/>
              </w:rPr>
              <w:t>0.27–2.21</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site pLDDT and relative solvent accessibility</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1.31</w:t>
            </w:r>
          </w:p>
        </w:tc>
        <w:tc>
          <w:tcPr>
            <w:tcW w:type="dxa" w:w="1936"/>
          </w:tcPr>
          <w:p>
            <w:pPr>
              <w:spacing w:before="0" w:after="40" w:line="208" w:lineRule="exact"/>
              <w:jc w:val="left"/>
            </w:pPr>
            <w:r>
              <w:rPr>
                <w:rFonts w:ascii="Charis SIL" w:hAnsi="Charis SIL" w:cs="Charis SIL" w:eastAsia="Charis SIL"/>
                <w:b w:val="0"/>
                <w:i w:val="0"/>
                <w:color w:val="000000"/>
                <w:sz w:val="16"/>
              </w:rPr>
              <w:t>0.37–4.66</w:t>
            </w:r>
          </w:p>
        </w:tc>
        <w:tc>
          <w:tcPr>
            <w:tcW w:type="dxa" w:w="1936"/>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minimum: both pLDDT ≥70,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41</w:t>
            </w:r>
          </w:p>
        </w:tc>
        <w:tc>
          <w:tcPr>
            <w:tcW w:type="dxa" w:w="1936"/>
          </w:tcPr>
          <w:p>
            <w:pPr>
              <w:spacing w:before="0" w:after="40" w:line="208" w:lineRule="exact"/>
              <w:jc w:val="left"/>
            </w:pPr>
            <w:r>
              <w:rPr>
                <w:rFonts w:ascii="Charis SIL" w:hAnsi="Charis SIL" w:cs="Charis SIL" w:eastAsia="Charis SIL"/>
                <w:b w:val="0"/>
                <w:i w:val="0"/>
                <w:color w:val="000000"/>
                <w:sz w:val="16"/>
              </w:rPr>
              <w:t>0.416</w:t>
            </w:r>
          </w:p>
        </w:tc>
        <w:tc>
          <w:tcPr>
            <w:tcW w:type="dxa" w:w="1936"/>
          </w:tcPr>
          <w:p>
            <w:pPr>
              <w:spacing w:before="0" w:after="40" w:line="208" w:lineRule="exact"/>
              <w:jc w:val="left"/>
            </w:pPr>
            <w:r>
              <w:rPr>
                <w:rFonts w:ascii="Charis SIL" w:hAnsi="Charis SIL" w:cs="Charis SIL" w:eastAsia="Charis SIL"/>
                <w:b w:val="0"/>
                <w:i w:val="0"/>
                <w:color w:val="000000"/>
                <w:sz w:val="16"/>
              </w:rPr>
              <w:t>0.192–0.617</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an 11-stratum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 xml:space="preserve">Confidence-strata family maximum: both pLDDT ≥90,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936"/>
          </w:tcPr>
          <w:p>
            <w:pPr>
              <w:spacing w:before="0" w:after="40" w:line="208" w:lineRule="exact"/>
              <w:jc w:val="left"/>
            </w:pPr>
            <w:r>
              <w:rPr>
                <w:rFonts w:ascii="Charis SIL" w:hAnsi="Charis SIL" w:cs="Charis SIL" w:eastAsia="Charis SIL"/>
                <w:b w:val="0"/>
                <w:i w:val="0"/>
                <w:color w:val="000000"/>
                <w:sz w:val="16"/>
              </w:rPr>
              <w:t>27</w:t>
            </w:r>
          </w:p>
        </w:tc>
        <w:tc>
          <w:tcPr>
            <w:tcW w:type="dxa" w:w="1936"/>
          </w:tcPr>
          <w:p>
            <w:pPr>
              <w:spacing w:before="0" w:after="40" w:line="208" w:lineRule="exact"/>
              <w:jc w:val="left"/>
            </w:pPr>
            <w:r>
              <w:rPr>
                <w:rFonts w:ascii="Charis SIL" w:hAnsi="Charis SIL" w:cs="Charis SIL" w:eastAsia="Charis SIL"/>
                <w:b w:val="0"/>
                <w:i w:val="0"/>
                <w:color w:val="000000"/>
                <w:sz w:val="16"/>
              </w:rPr>
              <w:t>0.683</w:t>
            </w:r>
          </w:p>
        </w:tc>
        <w:tc>
          <w:tcPr>
            <w:tcW w:type="dxa" w:w="1936"/>
          </w:tcPr>
          <w:p>
            <w:pPr>
              <w:spacing w:before="0" w:after="40" w:line="208" w:lineRule="exact"/>
              <w:jc w:val="left"/>
            </w:pPr>
            <w:r>
              <w:rPr>
                <w:rFonts w:ascii="Charis SIL" w:hAnsi="Charis SIL" w:cs="Charis SIL" w:eastAsia="Charis SIL"/>
                <w:b w:val="0"/>
                <w:i w:val="0"/>
                <w:color w:val="000000"/>
                <w:sz w:val="16"/>
              </w:rPr>
              <w:t>0.481–0.864</w:t>
            </w:r>
          </w:p>
        </w:tc>
        <w:tc>
          <w:tcPr>
            <w:tcW w:type="dxa" w:w="1936"/>
          </w:tcPr>
          <w:p>
            <w:pPr>
              <w:spacing w:before="0" w:after="40" w:line="208" w:lineRule="exact"/>
              <w:jc w:val="left"/>
            </w:pPr>
            <w:r>
              <w:rPr>
                <w:rFonts w:ascii="Charis SIL" w:hAnsi="Charis SIL" w:cs="Charis SIL" w:eastAsia="Charis SIL"/>
                <w:b w:val="0"/>
                <w:i w:val="0"/>
                <w:color w:val="000000"/>
                <w:sz w:val="16"/>
              </w:rPr>
              <w:t>Labelled extreme of the same family; post hoc</w:t>
            </w:r>
          </w:p>
        </w:tc>
      </w:tr>
      <w:tr>
        <w:tc>
          <w:tcPr>
            <w:tcW w:type="dxa" w:w="1936"/>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936"/>
          </w:tcPr>
          <w:p>
            <w:pPr>
              <w:spacing w:before="0" w:after="40" w:line="208" w:lineRule="exact"/>
              <w:jc w:val="left"/>
            </w:pPr>
            <w:r>
              <w:rPr>
                <w:rFonts w:ascii="Charis SIL" w:hAnsi="Charis SIL" w:cs="Charis SIL" w:eastAsia="Charis SIL"/>
                <w:b w:val="0"/>
                <w:i w:val="0"/>
                <w:color w:val="000000"/>
                <w:sz w:val="16"/>
              </w:rPr>
              <w:t>24 replaced sites, 7 proteins</w:t>
            </w:r>
          </w:p>
        </w:tc>
        <w:tc>
          <w:tcPr>
            <w:tcW w:type="dxa" w:w="1936"/>
          </w:tcPr>
          <w:p>
            <w:pPr>
              <w:spacing w:before="0" w:after="40" w:line="208" w:lineRule="exact"/>
              <w:jc w:val="left"/>
            </w:pPr>
            <w:r>
              <w:rPr>
                <w:rFonts w:ascii="Charis SIL" w:hAnsi="Charis SIL" w:cs="Charis SIL" w:eastAsia="Charis SIL"/>
                <w:b w:val="0"/>
                <w:i w:val="0"/>
                <w:color w:val="000000"/>
                <w:sz w:val="16"/>
              </w:rPr>
              <w:t>0.420</w:t>
            </w:r>
          </w:p>
        </w:tc>
        <w:tc>
          <w:tcPr>
            <w:tcW w:type="dxa" w:w="1936"/>
          </w:tcPr>
          <w:p>
            <w:pPr>
              <w:spacing w:before="0" w:after="40" w:line="208" w:lineRule="exact"/>
              <w:jc w:val="left"/>
            </w:pPr>
            <w:r>
              <w:rPr>
                <w:rFonts w:ascii="Charis SIL" w:hAnsi="Charis SIL" w:cs="Charis SIL" w:eastAsia="Charis SIL"/>
                <w:b w:val="0"/>
                <w:i w:val="0"/>
                <w:color w:val="000000"/>
                <w:sz w:val="16"/>
              </w:rPr>
              <w:t>0.244–0.708</w:t>
            </w:r>
          </w:p>
        </w:tc>
        <w:tc>
          <w:tcPr>
            <w:tcW w:type="dxa" w:w="1936"/>
          </w:tcPr>
          <w:p>
            <w:pPr>
              <w:spacing w:before="0" w:after="40" w:line="208" w:lineRule="exact"/>
              <w:jc w:val="left"/>
            </w:pPr>
            <w:r>
              <w:rPr>
                <w:rFonts w:ascii="Charis SIL" w:hAnsi="Charis SIL" w:cs="Charis SIL" w:eastAsia="Charis SIL"/>
                <w:b w:val="0"/>
                <w:i w:val="0"/>
                <w:color w:val="000000"/>
                <w:sz w:val="16"/>
              </w:rPr>
              <w:t>Descriptive range on 7 proteins; 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first two intervals use 200,000 protein-cluster resamples at seed 20260729; every other bootstrap interval uses 20,000 resamples at seed 20260728, so the endpoints for one point estimate differ in the third decimal between the two conventions. All 11 strata of the confidence family, in both cohort versions, are in the supplement and in Figure 2C.</w:t>
      </w:r>
    </w:p>
    <w:p>
      <w:pPr>
        <w:spacing w:before="240" w:after="120" w:line="284" w:lineRule="exact"/>
        <w:jc w:val="left"/>
      </w:pPr>
      <w:r>
        <w:rPr>
          <w:rFonts w:ascii="Charis SIL" w:hAnsi="Charis SIL" w:cs="Charis SIL" w:eastAsia="Charis SIL"/>
          <w:b/>
          <w:i w:val="0"/>
          <w:color w:val="000000"/>
          <w:sz w:val="25"/>
        </w:rPr>
        <w:t>Figure legends</w:t>
      </w:r>
    </w:p>
    <w:p>
      <w:pPr>
        <w:spacing w:before="0" w:after="200" w:line="284" w:lineRule="exact"/>
        <w:jc w:val="left"/>
      </w:pPr>
      <w:r>
        <w:rPr>
          <w:rFonts w:ascii="Charis SIL" w:hAnsi="Charis SIL" w:cs="Charis SIL" w:eastAsia="Charis SIL"/>
          <w:b/>
          <w:i w:val="0"/>
          <w:color w:val="000000"/>
          <w:sz w:val="20"/>
        </w:rPr>
        <w:t>Figure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i w:val="0"/>
          <w:color w:val="000000"/>
          <w:sz w:val="20"/>
        </w:rPr>
        <w:t>Figure 2. Model confidence and the declared sensitivity families.</w:t>
      </w:r>
      <w:r>
        <w:rPr>
          <w:rFonts w:ascii="Charis SIL" w:hAnsi="Charis SIL" w:cs="Charis SIL" w:eastAsia="Charis SIL"/>
          <w:b w:val="0"/>
          <w:i w:val="0"/>
          <w:color w:val="000000"/>
          <w:sz w:val="20"/>
        </w:rPr>
        <w:t xml:space="preserve"> (A) Cumulative distance distributions in the primary cohort, drawn separately for affected and unaffected sites. The marked maximum vertical gap between them is the two-sample Kolmogorov–Smirnov statistic, 0.137 on 79 affected and 84 unaffected sites; it is descriptive and no p-value is reported. The rug at 0 Å marks the three sites that coincide with an annotated residue, which enter only the inclusive cohort. (B)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the larger of the two directed site–target predicted-aligned-error values, against distance, coloured by site pLDDT. (C) Protein-cluster AUC intervals for all 11 confidence strata in both cohort versions. The primary-cohort family minimum (0.416, n = 41) and maximum (0.683, n = 27) are labelled as extremes of the family; tightening the PAE threshold moves the value up and down in both versions. Marker area is proportional to the number of sites in the stratum, which falls from 163 to 27. (D) The cohort, residue-class and feature-definition checks and the SIFT comparator, on the AUC scale of (C). The tyrosine subset appears as a point estimate with no interval, its bootstrap upper endpoint having reached 1, the highest value an AUC can take. In (C) and (D) the dashed vertical line marks AUC 0.5; labels carry n as primary/inclusive in (C) and a single n in (D).</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 xml:space="preserve">Viéitez C, Busby BP, Ochoa D, et al. High-throughput functional characterization of protein phosphorylation sites in yeast.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2022;40:382–390. doi:10.1038/s41587-021-01051-x.</w:t>
      </w:r>
    </w:p>
    <w:p>
      <w:pPr>
        <w:pStyle w:val="ListNumber"/>
        <w:spacing w:before="0" w:after="60" w:line="284" w:lineRule="exact"/>
        <w:jc w:val="left"/>
      </w:pPr>
      <w:r>
        <w:rPr>
          <w:rFonts w:ascii="Charis SIL" w:hAnsi="Charis SIL" w:cs="Charis SIL" w:eastAsia="Charis SIL"/>
          <w:b w:val="0"/>
          <w:i w:val="0"/>
          <w:color w:val="000000"/>
          <w:sz w:val="20"/>
        </w:rPr>
        <w:t xml:space="preserve">Strumillo MJ, Oplová M, Viéitez C, et al. Conserved phosphorylation hotspots in eukaryotic protein domain families.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2019;10:1977. doi:10.1038/s41467-019-09952-x.</w:t>
      </w:r>
    </w:p>
    <w:p>
      <w:pPr>
        <w:pStyle w:val="ListNumber"/>
        <w:spacing w:before="0" w:after="60" w:line="284" w:lineRule="exact"/>
        <w:jc w:val="left"/>
      </w:pPr>
      <w:r>
        <w:rPr>
          <w:rFonts w:ascii="Charis SIL" w:hAnsi="Charis SIL" w:cs="Charis SIL" w:eastAsia="Charis SIL"/>
          <w:b w:val="0"/>
          <w:i w:val="0"/>
          <w:color w:val="000000"/>
          <w:sz w:val="20"/>
        </w:rPr>
        <w:t xml:space="preserve">Ochoa D, Jarnuczak AF, Viéitez C, et al. The functional landscape of the human phosphoproteome. </w:t>
      </w:r>
      <w:r>
        <w:rPr>
          <w:rFonts w:ascii="Charis SIL" w:hAnsi="Charis SIL" w:cs="Charis SIL" w:eastAsia="Charis SIL"/>
          <w:b w:val="0"/>
          <w:i/>
          <w:color w:val="000000"/>
          <w:sz w:val="20"/>
        </w:rPr>
        <w:t>Nature Biotechnology</w:t>
      </w:r>
      <w:r>
        <w:rPr>
          <w:rFonts w:ascii="Charis SIL" w:hAnsi="Charis SIL" w:cs="Charis SIL" w:eastAsia="Charis SIL"/>
          <w:b w:val="0"/>
          <w:i w:val="0"/>
          <w:color w:val="000000"/>
          <w:sz w:val="20"/>
        </w:rPr>
        <w:t>. 2020;38:365–373. doi:10.1038/s41587-019-0344-3.</w:t>
      </w:r>
    </w:p>
    <w:p>
      <w:pPr>
        <w:pStyle w:val="ListNumber"/>
        <w:spacing w:before="0" w:after="60" w:line="284" w:lineRule="exact"/>
        <w:jc w:val="left"/>
      </w:pPr>
      <w:r>
        <w:rPr>
          <w:rFonts w:ascii="Charis SIL" w:hAnsi="Charis SIL" w:cs="Charis SIL" w:eastAsia="Charis SIL"/>
          <w:b w:val="0"/>
          <w:i w:val="0"/>
          <w:color w:val="000000"/>
          <w:sz w:val="20"/>
        </w:rPr>
        <w:t xml:space="preserve">Bludau I, Willems S, Zeng W-F, et al. The structural context of posttranslational modifications at a proteome-wide scale. </w:t>
      </w:r>
      <w:r>
        <w:rPr>
          <w:rFonts w:ascii="Charis SIL" w:hAnsi="Charis SIL" w:cs="Charis SIL" w:eastAsia="Charis SIL"/>
          <w:b w:val="0"/>
          <w:i/>
          <w:color w:val="000000"/>
          <w:sz w:val="20"/>
        </w:rPr>
        <w:t>PLoS Biology</w:t>
      </w:r>
      <w:r>
        <w:rPr>
          <w:rFonts w:ascii="Charis SIL" w:hAnsi="Charis SIL" w:cs="Charis SIL" w:eastAsia="Charis SIL"/>
          <w:b w:val="0"/>
          <w:i w:val="0"/>
          <w:color w:val="000000"/>
          <w:sz w:val="20"/>
        </w:rPr>
        <w:t>. 2022;20:e3001636. doi:10.1371/journal.pbio.3001636.</w:t>
      </w:r>
    </w:p>
    <w:p>
      <w:pPr>
        <w:pStyle w:val="ListNumber"/>
        <w:spacing w:before="0" w:after="60" w:line="284" w:lineRule="exact"/>
        <w:jc w:val="left"/>
      </w:pPr>
      <w:r>
        <w:rPr>
          <w:rFonts w:ascii="Charis SIL" w:hAnsi="Charis SIL" w:cs="Charis SIL" w:eastAsia="Charis SIL"/>
          <w:b w:val="0"/>
          <w:i w:val="0"/>
          <w:color w:val="000000"/>
          <w:sz w:val="20"/>
        </w:rPr>
        <w:t xml:space="preserve">Minguez P, Letunic I, Parca L, et al. PTMcode v2: a resource for functional associations of post-translational modifications within and between proteins.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2015;43:D494–D502. doi:10.1093/nar/gku1081.</w:t>
      </w:r>
    </w:p>
    <w:p>
      <w:pPr>
        <w:pStyle w:val="ListNumber"/>
        <w:spacing w:before="0" w:after="60" w:line="284" w:lineRule="exact"/>
        <w:jc w:val="left"/>
      </w:pPr>
      <w:r>
        <w:rPr>
          <w:rFonts w:ascii="Charis SIL" w:hAnsi="Charis SIL" w:cs="Charis SIL" w:eastAsia="Charis SIL"/>
          <w:b w:val="0"/>
          <w:i w:val="0"/>
          <w:color w:val="000000"/>
          <w:sz w:val="20"/>
        </w:rPr>
        <w:t xml:space="preserve">Stephenson JD, Totoo P, Burke DF, Jänes J, Beltrao P, Martin MJ. ProtVar: mapping and contextualizing human missense variation.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2024;52:W140–W147. doi:10.1093/nar/gkae413.</w:t>
      </w:r>
    </w:p>
    <w:p>
      <w:pPr>
        <w:pStyle w:val="ListNumber"/>
        <w:spacing w:before="0" w:after="60" w:line="284" w:lineRule="exact"/>
        <w:jc w:val="left"/>
      </w:pPr>
      <w:r>
        <w:rPr>
          <w:rFonts w:ascii="Charis SIL" w:hAnsi="Charis SIL" w:cs="Charis SIL" w:eastAsia="Charis SIL"/>
          <w:b w:val="0"/>
          <w:i w:val="0"/>
          <w:color w:val="000000"/>
          <w:sz w:val="20"/>
        </w:rPr>
        <w:t xml:space="preserve">Niu B, Scott AD, Sengupta S, et al. Protein-structure-guided discovery of functional mutations across 19 cancer types. </w:t>
      </w:r>
      <w:r>
        <w:rPr>
          <w:rFonts w:ascii="Charis SIL" w:hAnsi="Charis SIL" w:cs="Charis SIL" w:eastAsia="Charis SIL"/>
          <w:b w:val="0"/>
          <w:i/>
          <w:color w:val="000000"/>
          <w:sz w:val="20"/>
        </w:rPr>
        <w:t>Nature Genetics</w:t>
      </w:r>
      <w:r>
        <w:rPr>
          <w:rFonts w:ascii="Charis SIL" w:hAnsi="Charis SIL" w:cs="Charis SIL" w:eastAsia="Charis SIL"/>
          <w:b w:val="0"/>
          <w:i w:val="0"/>
          <w:color w:val="000000"/>
          <w:sz w:val="20"/>
        </w:rPr>
        <w:t>. 2016;48:827–837. doi:10.1038/ng.3586.</w:t>
      </w:r>
    </w:p>
    <w:p>
      <w:pPr>
        <w:pStyle w:val="ListNumber"/>
        <w:spacing w:before="0" w:after="60" w:line="284" w:lineRule="exact"/>
        <w:jc w:val="left"/>
      </w:pPr>
      <w:r>
        <w:rPr>
          <w:rFonts w:ascii="Charis SIL" w:hAnsi="Charis SIL" w:cs="Charis SIL" w:eastAsia="Charis SIL"/>
          <w:b w:val="0"/>
          <w:i w:val="0"/>
          <w:color w:val="000000"/>
          <w:sz w:val="20"/>
        </w:rPr>
        <w:t xml:space="preserve">Beltrao P, Albanèse V, Kenner LR, et al. Systematic functional prioritization of protein posttranslational modifications. </w:t>
      </w:r>
      <w:r>
        <w:rPr>
          <w:rFonts w:ascii="Charis SIL" w:hAnsi="Charis SIL" w:cs="Charis SIL" w:eastAsia="Charis SIL"/>
          <w:b w:val="0"/>
          <w:i/>
          <w:color w:val="000000"/>
          <w:sz w:val="20"/>
        </w:rPr>
        <w:t>Cell</w:t>
      </w:r>
      <w:r>
        <w:rPr>
          <w:rFonts w:ascii="Charis SIL" w:hAnsi="Charis SIL" w:cs="Charis SIL" w:eastAsia="Charis SIL"/>
          <w:b w:val="0"/>
          <w:i w:val="0"/>
          <w:color w:val="000000"/>
          <w:sz w:val="20"/>
        </w:rPr>
        <w:t>. 2012;150:413–425. doi:10.1016/j.cell.2012.05.036.</w:t>
      </w:r>
    </w:p>
    <w:p>
      <w:pPr>
        <w:pStyle w:val="ListNumber"/>
        <w:spacing w:before="0" w:after="60" w:line="284" w:lineRule="exact"/>
        <w:jc w:val="left"/>
      </w:pPr>
      <w:r>
        <w:rPr>
          <w:rFonts w:ascii="Charis SIL" w:hAnsi="Charis SIL" w:cs="Charis SIL" w:eastAsia="Charis SIL"/>
          <w:b w:val="0"/>
          <w:i w:val="0"/>
          <w:color w:val="000000"/>
          <w:sz w:val="20"/>
        </w:rPr>
        <w:t xml:space="preserve">Nishi H, Hashimoto K, Panchenko AR. Phosphorylation in protein-protein binding: effect on stability and function. </w:t>
      </w:r>
      <w:r>
        <w:rPr>
          <w:rFonts w:ascii="Charis SIL" w:hAnsi="Charis SIL" w:cs="Charis SIL" w:eastAsia="Charis SIL"/>
          <w:b w:val="0"/>
          <w:i/>
          <w:color w:val="000000"/>
          <w:sz w:val="20"/>
        </w:rPr>
        <w:t>Structure</w:t>
      </w:r>
      <w:r>
        <w:rPr>
          <w:rFonts w:ascii="Charis SIL" w:hAnsi="Charis SIL" w:cs="Charis SIL" w:eastAsia="Charis SIL"/>
          <w:b w:val="0"/>
          <w:i w:val="0"/>
          <w:color w:val="000000"/>
          <w:sz w:val="20"/>
        </w:rPr>
        <w:t>. 2011;19:1807–1815. doi:10.1016/j.str.2011.09.021.</w:t>
      </w:r>
    </w:p>
    <w:p>
      <w:pPr>
        <w:pStyle w:val="ListNumber"/>
        <w:spacing w:before="0" w:after="60" w:line="284" w:lineRule="exact"/>
        <w:jc w:val="left"/>
      </w:pPr>
      <w:r>
        <w:rPr>
          <w:rFonts w:ascii="Charis SIL" w:hAnsi="Charis SIL" w:cs="Charis SIL" w:eastAsia="Charis SIL"/>
          <w:b w:val="0"/>
          <w:i w:val="0"/>
          <w:color w:val="000000"/>
          <w:sz w:val="20"/>
        </w:rPr>
        <w:t xml:space="preserve">Evans R, O'Neill M, Pritzel A, et al. Protein complex prediction with AlphaFold-Multimer. </w:t>
      </w:r>
      <w:r>
        <w:rPr>
          <w:rFonts w:ascii="Charis SIL" w:hAnsi="Charis SIL" w:cs="Charis SIL" w:eastAsia="Charis SIL"/>
          <w:b w:val="0"/>
          <w:i/>
          <w:color w:val="000000"/>
          <w:sz w:val="20"/>
        </w:rPr>
        <w:t>bioRxiv</w:t>
      </w:r>
      <w:r>
        <w:rPr>
          <w:rFonts w:ascii="Charis SIL" w:hAnsi="Charis SIL" w:cs="Charis SIL" w:eastAsia="Charis SIL"/>
          <w:b w:val="0"/>
          <w:i w:val="0"/>
          <w:color w:val="000000"/>
          <w:sz w:val="20"/>
        </w:rPr>
        <w:t>. 2022. doi:10.1101/2021.10.04.463034.</w:t>
      </w:r>
    </w:p>
    <w:p>
      <w:pPr>
        <w:pStyle w:val="ListNumber"/>
        <w:spacing w:before="0" w:after="60" w:line="284" w:lineRule="exact"/>
        <w:jc w:val="left"/>
      </w:pPr>
      <w:r>
        <w:rPr>
          <w:rFonts w:ascii="Charis SIL" w:hAnsi="Charis SIL" w:cs="Charis SIL" w:eastAsia="Charis SIL"/>
          <w:b w:val="0"/>
          <w:i w:val="0"/>
          <w:color w:val="000000"/>
          <w:sz w:val="20"/>
        </w:rPr>
        <w:t xml:space="preserve">Huang Y, Xu B, Zhou X, et al. Systematic characterization and prediction of post-translational modification cross-talk. </w:t>
      </w:r>
      <w:r>
        <w:rPr>
          <w:rFonts w:ascii="Charis SIL" w:hAnsi="Charis SIL" w:cs="Charis SIL" w:eastAsia="Charis SIL"/>
          <w:b w:val="0"/>
          <w:i/>
          <w:color w:val="000000"/>
          <w:sz w:val="20"/>
        </w:rPr>
        <w:t>Molecular &amp; Cellular Proteomics</w:t>
      </w:r>
      <w:r>
        <w:rPr>
          <w:rFonts w:ascii="Charis SIL" w:hAnsi="Charis SIL" w:cs="Charis SIL" w:eastAsia="Charis SIL"/>
          <w:b w:val="0"/>
          <w:i w:val="0"/>
          <w:color w:val="000000"/>
          <w:sz w:val="20"/>
        </w:rPr>
        <w:t>. 2015;14:761–770. doi:10.1074/mcp.M114.037994.</w:t>
      </w:r>
    </w:p>
    <w:p>
      <w:pPr>
        <w:pStyle w:val="ListNumber"/>
        <w:spacing w:before="0" w:after="60" w:line="284" w:lineRule="exact"/>
        <w:jc w:val="left"/>
      </w:pPr>
      <w:r>
        <w:rPr>
          <w:rFonts w:ascii="Charis SIL" w:hAnsi="Charis SIL" w:cs="Charis SIL" w:eastAsia="Charis SIL"/>
          <w:b w:val="0"/>
          <w:i w:val="0"/>
          <w:color w:val="000000"/>
          <w:sz w:val="20"/>
        </w:rPr>
        <w:t xml:space="preserve">Ng PC, Henikoff S. SIFT: predicting amino acid changes that affect protein function.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2003;31:3812–3814. doi:10.1093/nar/gkg509.</w:t>
      </w:r>
    </w:p>
    <w:p>
      <w:pPr>
        <w:pStyle w:val="ListNumber"/>
        <w:spacing w:before="0" w:after="60" w:line="284" w:lineRule="exact"/>
        <w:jc w:val="left"/>
      </w:pPr>
      <w:r>
        <w:rPr>
          <w:rFonts w:ascii="Charis SIL" w:hAnsi="Charis SIL" w:cs="Charis SIL" w:eastAsia="Charis SIL"/>
          <w:b w:val="0"/>
          <w:i w:val="0"/>
          <w:color w:val="000000"/>
          <w:sz w:val="20"/>
        </w:rPr>
        <w:t xml:space="preserve">The UniProt Consortium. UniProt: the Universal Protein Knowledgebase in 2023.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2023;51:D523–D531. doi:10.1093/nar/gkac1052.</w:t>
      </w:r>
    </w:p>
    <w:p>
      <w:pPr>
        <w:pStyle w:val="ListNumber"/>
        <w:spacing w:before="0" w:after="60" w:line="284" w:lineRule="exact"/>
        <w:jc w:val="left"/>
      </w:pPr>
      <w:r>
        <w:rPr>
          <w:rFonts w:ascii="Charis SIL" w:hAnsi="Charis SIL" w:cs="Charis SIL" w:eastAsia="Charis SIL"/>
          <w:b w:val="0"/>
          <w:i w:val="0"/>
          <w:color w:val="000000"/>
          <w:sz w:val="20"/>
        </w:rPr>
        <w:t xml:space="preserve">Jumper J, Evans R, Pritzel A, et al. Highly accurate protein structure prediction with AlphaFold. </w:t>
      </w:r>
      <w:r>
        <w:rPr>
          <w:rFonts w:ascii="Charis SIL" w:hAnsi="Charis SIL" w:cs="Charis SIL" w:eastAsia="Charis SIL"/>
          <w:b w:val="0"/>
          <w:i/>
          <w:color w:val="000000"/>
          <w:sz w:val="20"/>
        </w:rPr>
        <w:t>Nature</w:t>
      </w:r>
      <w:r>
        <w:rPr>
          <w:rFonts w:ascii="Charis SIL" w:hAnsi="Charis SIL" w:cs="Charis SIL" w:eastAsia="Charis SIL"/>
          <w:b w:val="0"/>
          <w:i w:val="0"/>
          <w:color w:val="000000"/>
          <w:sz w:val="20"/>
        </w:rPr>
        <w:t>. 2021;596:583–589. doi:10.1038/s41586-021-03819-2.</w:t>
      </w:r>
    </w:p>
    <w:p>
      <w:pPr>
        <w:pStyle w:val="ListNumber"/>
        <w:spacing w:before="0" w:after="60" w:line="284" w:lineRule="exact"/>
        <w:jc w:val="left"/>
      </w:pPr>
      <w:r>
        <w:rPr>
          <w:rFonts w:ascii="Charis SIL" w:hAnsi="Charis SIL" w:cs="Charis SIL" w:eastAsia="Charis SIL"/>
          <w:b w:val="0"/>
          <w:i w:val="0"/>
          <w:color w:val="000000"/>
          <w:sz w:val="20"/>
        </w:rPr>
        <w:t xml:space="preserve">Varadi M, Bertoni D, Magana P, et al. AlphaFold Protein Structure Database in 2024: providing structure coverage for over 214 million protein sequences. </w:t>
      </w:r>
      <w:r>
        <w:rPr>
          <w:rFonts w:ascii="Charis SIL" w:hAnsi="Charis SIL" w:cs="Charis SIL" w:eastAsia="Charis SIL"/>
          <w:b w:val="0"/>
          <w:i/>
          <w:color w:val="000000"/>
          <w:sz w:val="20"/>
        </w:rPr>
        <w:t>Nucleic Acids Research</w:t>
      </w:r>
      <w:r>
        <w:rPr>
          <w:rFonts w:ascii="Charis SIL" w:hAnsi="Charis SIL" w:cs="Charis SIL" w:eastAsia="Charis SIL"/>
          <w:b w:val="0"/>
          <w:i w:val="0"/>
          <w:color w:val="000000"/>
          <w:sz w:val="20"/>
        </w:rPr>
        <w:t>. 2024;52:D368–D375. doi:10.1093/nar/gkad1011.</w:t>
      </w:r>
    </w:p>
    <w:p>
      <w:pPr>
        <w:pStyle w:val="ListNumber"/>
        <w:spacing w:before="0" w:after="60" w:line="284" w:lineRule="exact"/>
        <w:jc w:val="left"/>
      </w:pPr>
      <w:r>
        <w:rPr>
          <w:rFonts w:ascii="Charis SIL" w:hAnsi="Charis SIL" w:cs="Charis SIL" w:eastAsia="Charis SIL"/>
          <w:b w:val="0"/>
          <w:i w:val="0"/>
          <w:color w:val="000000"/>
          <w:sz w:val="20"/>
        </w:rPr>
        <w:t xml:space="preserve">Akdel M, Pires DEV, Pardo EP, et al. A structural biology community assessment of AlphaFold2 applications. </w:t>
      </w:r>
      <w:r>
        <w:rPr>
          <w:rFonts w:ascii="Charis SIL" w:hAnsi="Charis SIL" w:cs="Charis SIL" w:eastAsia="Charis SIL"/>
          <w:b w:val="0"/>
          <w:i/>
          <w:color w:val="000000"/>
          <w:sz w:val="20"/>
        </w:rPr>
        <w:t>Nature Structural &amp; Molecular Biology</w:t>
      </w:r>
      <w:r>
        <w:rPr>
          <w:rFonts w:ascii="Charis SIL" w:hAnsi="Charis SIL" w:cs="Charis SIL" w:eastAsia="Charis SIL"/>
          <w:b w:val="0"/>
          <w:i w:val="0"/>
          <w:color w:val="000000"/>
          <w:sz w:val="20"/>
        </w:rPr>
        <w:t>. 2022;29:1056–1067. doi:10.1038/s41594-022-00849-w.</w:t>
      </w:r>
    </w:p>
    <w:p>
      <w:pPr>
        <w:pStyle w:val="ListNumber"/>
        <w:spacing w:before="0" w:after="60" w:line="284" w:lineRule="exact"/>
        <w:jc w:val="left"/>
      </w:pPr>
      <w:r>
        <w:rPr>
          <w:rFonts w:ascii="Charis SIL" w:hAnsi="Charis SIL" w:cs="Charis SIL" w:eastAsia="Charis SIL"/>
          <w:b w:val="0"/>
          <w:i w:val="0"/>
          <w:color w:val="000000"/>
          <w:sz w:val="20"/>
        </w:rPr>
        <w:t xml:space="preserve">Ruff KM, Pappu RV. AlphaFold and implications for intrinsically disordered proteins.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2021;433:167208. doi:10.1016/j.jmb.2021.167208.</w:t>
      </w:r>
    </w:p>
    <w:p>
      <w:pPr>
        <w:pStyle w:val="ListNumber"/>
        <w:spacing w:before="0" w:after="60" w:line="284" w:lineRule="exact"/>
        <w:jc w:val="left"/>
      </w:pPr>
      <w:r>
        <w:rPr>
          <w:rFonts w:ascii="Charis SIL" w:hAnsi="Charis SIL" w:cs="Charis SIL" w:eastAsia="Charis SIL"/>
          <w:b w:val="0"/>
          <w:i w:val="0"/>
          <w:color w:val="000000"/>
          <w:sz w:val="20"/>
        </w:rPr>
        <w:t xml:space="preserve">Shrake A, Rupley JA. Environment and exposure to solvent of protein atoms: lysozyme and insulin. </w:t>
      </w:r>
      <w:r>
        <w:rPr>
          <w:rFonts w:ascii="Charis SIL" w:hAnsi="Charis SIL" w:cs="Charis SIL" w:eastAsia="Charis SIL"/>
          <w:b w:val="0"/>
          <w:i/>
          <w:color w:val="000000"/>
          <w:sz w:val="20"/>
        </w:rPr>
        <w:t>Journal of Molecular Biology</w:t>
      </w:r>
      <w:r>
        <w:rPr>
          <w:rFonts w:ascii="Charis SIL" w:hAnsi="Charis SIL" w:cs="Charis SIL" w:eastAsia="Charis SIL"/>
          <w:b w:val="0"/>
          <w:i w:val="0"/>
          <w:color w:val="000000"/>
          <w:sz w:val="20"/>
        </w:rPr>
        <w:t>. 1973;79:351–371. doi:10.1016/0022-2836(73)90011-9.</w:t>
      </w:r>
    </w:p>
    <w:p>
      <w:pPr>
        <w:pStyle w:val="ListNumber"/>
        <w:spacing w:before="0" w:after="60" w:line="284" w:lineRule="exact"/>
        <w:jc w:val="left"/>
      </w:pPr>
      <w:r>
        <w:rPr>
          <w:rFonts w:ascii="Charis SIL" w:hAnsi="Charis SIL" w:cs="Charis SIL" w:eastAsia="Charis SIL"/>
          <w:b w:val="0"/>
          <w:i w:val="0"/>
          <w:color w:val="000000"/>
          <w:sz w:val="20"/>
        </w:rPr>
        <w:t xml:space="preserve">Tien MZ, Meyer AG, Sydykova DK, Spielman SJ, Wilke CO. Maximum allowed solvent accessibilities of residues in proteins. </w:t>
      </w:r>
      <w:r>
        <w:rPr>
          <w:rFonts w:ascii="Charis SIL" w:hAnsi="Charis SIL" w:cs="Charis SIL" w:eastAsia="Charis SIL"/>
          <w:b w:val="0"/>
          <w:i/>
          <w:color w:val="000000"/>
          <w:sz w:val="20"/>
        </w:rPr>
        <w:t>PLoS ONE</w:t>
      </w:r>
      <w:r>
        <w:rPr>
          <w:rFonts w:ascii="Charis SIL" w:hAnsi="Charis SIL" w:cs="Charis SIL" w:eastAsia="Charis SIL"/>
          <w:b w:val="0"/>
          <w:i w:val="0"/>
          <w:color w:val="000000"/>
          <w:sz w:val="20"/>
        </w:rPr>
        <w:t>. 2013;8:e80635. doi:10.1371/journal.pone.0080635.</w:t>
      </w:r>
    </w:p>
    <w:p>
      <w:pPr>
        <w:pStyle w:val="ListNumber"/>
        <w:spacing w:before="0" w:after="60" w:line="284" w:lineRule="exact"/>
        <w:jc w:val="left"/>
      </w:pPr>
      <w:r>
        <w:rPr>
          <w:rFonts w:ascii="Charis SIL" w:hAnsi="Charis SIL" w:cs="Charis SIL" w:eastAsia="Charis SIL"/>
          <w:b w:val="0"/>
          <w:i w:val="0"/>
          <w:color w:val="000000"/>
          <w:sz w:val="20"/>
        </w:rPr>
        <w:t xml:space="preserve">Pedregosa F, Varoquaux G, Gramfort A, et al. Scikit-learn: machine learning in Python. </w:t>
      </w:r>
      <w:r>
        <w:rPr>
          <w:rFonts w:ascii="Charis SIL" w:hAnsi="Charis SIL" w:cs="Charis SIL" w:eastAsia="Charis SIL"/>
          <w:b w:val="0"/>
          <w:i/>
          <w:color w:val="000000"/>
          <w:sz w:val="20"/>
        </w:rPr>
        <w:t>Journal of Machine Learning Research</w:t>
      </w:r>
      <w:r>
        <w:rPr>
          <w:rFonts w:ascii="Charis SIL" w:hAnsi="Charis SIL" w:cs="Charis SIL" w:eastAsia="Charis SIL"/>
          <w:b w:val="0"/>
          <w:i w:val="0"/>
          <w:color w:val="000000"/>
          <w:sz w:val="20"/>
        </w:rPr>
        <w:t>. 2011;12:2825–2830.</w:t>
      </w:r>
    </w:p>
    <w:p>
      <w:pPr>
        <w:pStyle w:val="ListNumber"/>
        <w:spacing w:before="0" w:after="60" w:line="284" w:lineRule="exact"/>
        <w:jc w:val="left"/>
      </w:pPr>
      <w:r>
        <w:rPr>
          <w:rFonts w:ascii="Charis SIL" w:hAnsi="Charis SIL" w:cs="Charis SIL" w:eastAsia="Charis SIL"/>
          <w:b w:val="0"/>
          <w:i w:val="0"/>
          <w:color w:val="000000"/>
          <w:sz w:val="20"/>
        </w:rPr>
        <w:t xml:space="preserve">Kennedy PH, Alborzian Deh Sheikh A, Balakar M, et al. Post-translational modification-centric base editor screens to assess phosphorylation site functionality in high throughput. </w:t>
      </w:r>
      <w:r>
        <w:rPr>
          <w:rFonts w:ascii="Charis SIL" w:hAnsi="Charis SIL" w:cs="Charis SIL" w:eastAsia="Charis SIL"/>
          <w:b w:val="0"/>
          <w:i/>
          <w:color w:val="000000"/>
          <w:sz w:val="20"/>
        </w:rPr>
        <w:t>Nature Methods</w:t>
      </w:r>
      <w:r>
        <w:rPr>
          <w:rFonts w:ascii="Charis SIL" w:hAnsi="Charis SIL" w:cs="Charis SIL" w:eastAsia="Charis SIL"/>
          <w:b w:val="0"/>
          <w:i w:val="0"/>
          <w:color w:val="000000"/>
          <w:sz w:val="20"/>
        </w:rPr>
        <w:t>. 2024;21:1033–1043. doi:10.1038/s41592-024-02256-z.</w:t>
      </w:r>
    </w:p>
    <w:p>
      <w:pPr>
        <w:pStyle w:val="ListNumber"/>
        <w:spacing w:before="0" w:after="60" w:line="284" w:lineRule="exact"/>
        <w:jc w:val="left"/>
      </w:pPr>
      <w:r>
        <w:rPr>
          <w:rFonts w:ascii="Charis SIL" w:hAnsi="Charis SIL" w:cs="Charis SIL" w:eastAsia="Charis SIL"/>
          <w:b w:val="0"/>
          <w:i w:val="0"/>
          <w:color w:val="000000"/>
          <w:sz w:val="20"/>
        </w:rPr>
        <w:t xml:space="preserve">Correa Marrero M, Mello VH, Sartori P, Beltrao P. Global comparative structural analysis of responses to protein phosphorylation. </w:t>
      </w:r>
      <w:r>
        <w:rPr>
          <w:rFonts w:ascii="Charis SIL" w:hAnsi="Charis SIL" w:cs="Charis SIL" w:eastAsia="Charis SIL"/>
          <w:b w:val="0"/>
          <w:i/>
          <w:color w:val="000000"/>
          <w:sz w:val="20"/>
        </w:rPr>
        <w:t>Nature Communications</w:t>
      </w:r>
      <w:r>
        <w:rPr>
          <w:rFonts w:ascii="Charis SIL" w:hAnsi="Charis SIL" w:cs="Charis SIL" w:eastAsia="Charis SIL"/>
          <w:b w:val="0"/>
          <w:i w:val="0"/>
          <w:color w:val="000000"/>
          <w:sz w:val="20"/>
        </w:rPr>
        <w:t>. 2025;16:9407. doi:10.1038/s41467-025-64116-4.</w:t>
      </w:r>
    </w:p>
    <w:p>
      <w:pPr>
        <w:pStyle w:val="ListNumber"/>
        <w:spacing w:before="0" w:after="60" w:line="284" w:lineRule="exact"/>
        <w:jc w:val="left"/>
      </w:pPr>
      <w:r>
        <w:rPr>
          <w:rFonts w:ascii="Charis SIL" w:hAnsi="Charis SIL" w:cs="Charis SIL" w:eastAsia="Charis SIL"/>
          <w:b w:val="0"/>
          <w:i w:val="0"/>
          <w:color w:val="000000"/>
          <w:sz w:val="20"/>
        </w:rPr>
        <w:t xml:space="preserve">Li Y, Xu T, Ma H, et al. Functional profiling of serine, threonine and tyrosine sites. </w:t>
      </w:r>
      <w:r>
        <w:rPr>
          <w:rFonts w:ascii="Charis SIL" w:hAnsi="Charis SIL" w:cs="Charis SIL" w:eastAsia="Charis SIL"/>
          <w:b w:val="0"/>
          <w:i/>
          <w:color w:val="000000"/>
          <w:sz w:val="20"/>
        </w:rPr>
        <w:t>Nature Chemical Biology</w:t>
      </w:r>
      <w:r>
        <w:rPr>
          <w:rFonts w:ascii="Charis SIL" w:hAnsi="Charis SIL" w:cs="Charis SIL" w:eastAsia="Charis SIL"/>
          <w:b w:val="0"/>
          <w:i w:val="0"/>
          <w:color w:val="000000"/>
          <w:sz w:val="20"/>
        </w:rPr>
        <w:t>. 2025;21:532–543. doi:10.1038/s41589-024-01731-0.</w:t>
      </w:r>
    </w:p>
    <w:p>
      <w:pPr>
        <w:spacing w:before="240" w:after="120" w:line="284" w:lineRule="exact"/>
        <w:jc w:val="left"/>
      </w:pPr>
      <w:r>
        <w:rPr>
          <w:rFonts w:ascii="Charis SIL" w:hAnsi="Charis SIL" w:cs="Charis SIL" w:eastAsia="Charis SIL"/>
          <w:b/>
          <w:i w:val="0"/>
          <w:color w:val="000000"/>
          <w:sz w:val="25"/>
        </w:rPr>
        <w:t>Supplementary information</w:t>
      </w:r>
    </w:p>
    <w:p>
      <w:pPr>
        <w:spacing w:before="0" w:after="200" w:line="284" w:lineRule="exact"/>
        <w:jc w:val="left"/>
      </w:pPr>
      <w:r>
        <w:rPr>
          <w:rFonts w:ascii="Charis SIL" w:hAnsi="Charis SIL" w:cs="Charis SIL" w:eastAsia="Charis SIL"/>
          <w:b w:val="0"/>
          <w:i w:val="0"/>
          <w:color w:val="000000"/>
          <w:sz w:val="20"/>
        </w:rPr>
        <w:t>Material moved out of the main narrative. Nothing here is withdrawn; it is placed where a reader who wants it can find it and a reader following the argument is not detained by it.</w:t>
      </w:r>
    </w:p>
    <w:p>
      <w:pPr>
        <w:spacing w:before="240" w:after="120" w:line="284" w:lineRule="exact"/>
        <w:jc w:val="left"/>
      </w:pPr>
      <w:r>
        <w:rPr>
          <w:rFonts w:ascii="Charis SIL" w:hAnsi="Charis SIL" w:cs="Charis SIL" w:eastAsia="Charis SIL"/>
          <w:b/>
          <w:i w:val="0"/>
          <w:color w:val="000000"/>
          <w:sz w:val="22"/>
        </w:rPr>
        <w:t>Supplementary Note S1. Annotation records, residue expansion, and a withdrawn count</w:t>
      </w:r>
    </w:p>
    <w:p>
      <w:pPr>
        <w:spacing w:before="0" w:after="200" w:line="284" w:lineRule="exact"/>
        <w:jc w:val="left"/>
      </w:pPr>
      <w:r>
        <w:rPr>
          <w:rFonts w:ascii="Charis SIL" w:hAnsi="Charis SIL" w:cs="Charis SIL" w:eastAsia="Charis SIL"/>
          <w:b w:val="0"/>
          <w:i w:val="0"/>
          <w:color w:val="000000"/>
          <w:sz w:val="20"/>
        </w:rPr>
        <w:t xml:space="preserve">Every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record covers a single residue. Expanding all 262 eligible records to one row per covered residue gives 594 rows: 565 after removing duplicates on (accession, start, end) and 566 on (accession, start, end, feature type). The target set itself is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and that count reproduces exactly. The excess over 560 arises from P12904, whose intervals are recorded once per ligand, so the same residue appears under more than one record.</w:t>
      </w:r>
    </w:p>
    <w:p>
      <w:pPr>
        <w:spacing w:before="0" w:after="200" w:line="284" w:lineRule="exact"/>
        <w:jc w:val="left"/>
      </w:pPr>
      <w:r>
        <w:rPr>
          <w:rFonts w:ascii="Charis SIL" w:hAnsi="Charis SIL" w:cs="Charis SIL" w:eastAsia="Charis SIL"/>
          <w:b w:val="0"/>
          <w:i w:val="0"/>
          <w:color w:val="000000"/>
          <w:sz w:val="20"/>
        </w:rPr>
        <w:t xml:space="preserve">An earlier expanded row count kept in the analysis records does not reproduce under any simple rule and is </w:t>
      </w:r>
      <w:r>
        <w:rPr>
          <w:rFonts w:ascii="Charis SIL" w:hAnsi="Charis SIL" w:cs="Charis SIL" w:eastAsia="Charis SIL"/>
          <w:b/>
          <w:i w:val="0"/>
          <w:color w:val="000000"/>
          <w:sz w:val="20"/>
        </w:rPr>
        <w:t>withdrawn</w:t>
      </w:r>
      <w:r>
        <w:rPr>
          <w:rFonts w:ascii="Charis SIL" w:hAnsi="Charis SIL" w:cs="Charis SIL" w:eastAsia="Charis SIL"/>
          <w:b w:val="0"/>
          <w:i w:val="0"/>
          <w:color w:val="000000"/>
          <w:sz w:val="20"/>
        </w:rPr>
        <w:t>. It is named here rather than deleted because it appeared in an earlier version of this manuscript. No figure, table or claim in the present text depends on it; the numerical authority bars citing it.</w:t>
      </w:r>
    </w:p>
    <w:p>
      <w:pPr>
        <w:spacing w:before="240" w:after="120" w:line="284" w:lineRule="exact"/>
        <w:jc w:val="left"/>
      </w:pPr>
      <w:r>
        <w:rPr>
          <w:rFonts w:ascii="Charis SIL" w:hAnsi="Charis SIL" w:cs="Charis SIL" w:eastAsia="Charis SIL"/>
          <w:b/>
          <w:i w:val="0"/>
          <w:color w:val="000000"/>
          <w:sz w:val="22"/>
        </w:rPr>
        <w:t>Supplementary Table S2. The eleven-stratum confidence family</w:t>
      </w:r>
    </w:p>
    <w:tbl>
      <w:tblPr>
        <w:tblW w:type="auto" w:w="0"/>
        <w:jc w:val="left"/>
        <w:tblLayout w:type="autofit"/>
        <w:tblLook w:firstColumn="1" w:firstRow="1" w:lastColumn="0" w:lastRow="0" w:noHBand="0" w:noVBand="1" w:val="04A0"/>
      </w:tblPr>
      <w:tblGrid>
        <w:gridCol w:w="1383"/>
        <w:gridCol w:w="1383"/>
        <w:gridCol w:w="1383"/>
        <w:gridCol w:w="1383"/>
        <w:gridCol w:w="1383"/>
        <w:gridCol w:w="1383"/>
        <w:gridCol w:w="1383"/>
      </w:tblGrid>
      <w:tr>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Stratum</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Primary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Inclusive AUC</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38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r>
      <w:tr>
        <w:tc>
          <w:tcPr>
            <w:tcW w:type="dxa" w:w="1383"/>
          </w:tcPr>
          <w:p>
            <w:pPr>
              <w:spacing w:before="0" w:after="40" w:line="208" w:lineRule="exact"/>
              <w:jc w:val="left"/>
            </w:pPr>
            <w:r>
              <w:rPr>
                <w:rFonts w:ascii="Charis SIL" w:hAnsi="Charis SIL" w:cs="Charis SIL" w:eastAsia="Charis SIL"/>
                <w:b w:val="0"/>
                <w:i w:val="0"/>
                <w:color w:val="000000"/>
                <w:sz w:val="16"/>
              </w:rPr>
              <w:t>All</w:t>
            </w:r>
          </w:p>
        </w:tc>
        <w:tc>
          <w:tcPr>
            <w:tcW w:type="dxa" w:w="1383"/>
          </w:tcPr>
          <w:p>
            <w:pPr>
              <w:spacing w:before="0" w:after="40" w:line="208" w:lineRule="exact"/>
              <w:jc w:val="left"/>
            </w:pPr>
            <w:r>
              <w:rPr>
                <w:rFonts w:ascii="Charis SIL" w:hAnsi="Charis SIL" w:cs="Charis SIL" w:eastAsia="Charis SIL"/>
                <w:b w:val="0"/>
                <w:i w:val="0"/>
                <w:color w:val="000000"/>
                <w:sz w:val="16"/>
              </w:rPr>
              <w:t>0.527</w:t>
            </w:r>
          </w:p>
        </w:tc>
        <w:tc>
          <w:tcPr>
            <w:tcW w:type="dxa" w:w="1383"/>
          </w:tcPr>
          <w:p>
            <w:pPr>
              <w:spacing w:before="0" w:after="40" w:line="208" w:lineRule="exact"/>
              <w:jc w:val="left"/>
            </w:pPr>
            <w:r>
              <w:rPr>
                <w:rFonts w:ascii="Charis SIL" w:hAnsi="Charis SIL" w:cs="Charis SIL" w:eastAsia="Charis SIL"/>
                <w:b w:val="0"/>
                <w:i w:val="0"/>
                <w:color w:val="000000"/>
                <w:sz w:val="16"/>
              </w:rPr>
              <w:t>0.417–0.632</w:t>
            </w:r>
          </w:p>
        </w:tc>
        <w:tc>
          <w:tcPr>
            <w:tcW w:type="dxa" w:w="1383"/>
          </w:tcPr>
          <w:p>
            <w:pPr>
              <w:spacing w:before="0" w:after="40" w:line="208" w:lineRule="exact"/>
              <w:jc w:val="left"/>
            </w:pPr>
            <w:r>
              <w:rPr>
                <w:rFonts w:ascii="Charis SIL" w:hAnsi="Charis SIL" w:cs="Charis SIL" w:eastAsia="Charis SIL"/>
                <w:b w:val="0"/>
                <w:i w:val="0"/>
                <w:color w:val="000000"/>
                <w:sz w:val="16"/>
              </w:rPr>
              <w:t>163</w:t>
            </w:r>
          </w:p>
        </w:tc>
        <w:tc>
          <w:tcPr>
            <w:tcW w:type="dxa" w:w="1383"/>
          </w:tcPr>
          <w:p>
            <w:pPr>
              <w:spacing w:before="0" w:after="40" w:line="208" w:lineRule="exact"/>
              <w:jc w:val="left"/>
            </w:pPr>
            <w:r>
              <w:rPr>
                <w:rFonts w:ascii="Charis SIL" w:hAnsi="Charis SIL" w:cs="Charis SIL" w:eastAsia="Charis SIL"/>
                <w:b w:val="0"/>
                <w:i w:val="0"/>
                <w:color w:val="000000"/>
                <w:sz w:val="16"/>
              </w:rPr>
              <w:t>0.544</w:t>
            </w:r>
          </w:p>
        </w:tc>
        <w:tc>
          <w:tcPr>
            <w:tcW w:type="dxa" w:w="1383"/>
          </w:tcPr>
          <w:p>
            <w:pPr>
              <w:spacing w:before="0" w:after="40" w:line="208" w:lineRule="exact"/>
              <w:jc w:val="left"/>
            </w:pPr>
            <w:r>
              <w:rPr>
                <w:rFonts w:ascii="Charis SIL" w:hAnsi="Charis SIL" w:cs="Charis SIL" w:eastAsia="Charis SIL"/>
                <w:b w:val="0"/>
                <w:i w:val="0"/>
                <w:color w:val="000000"/>
                <w:sz w:val="16"/>
              </w:rPr>
              <w:t>0.436–0.649</w:t>
            </w:r>
          </w:p>
        </w:tc>
        <w:tc>
          <w:tcPr>
            <w:tcW w:type="dxa" w:w="1383"/>
          </w:tcPr>
          <w:p>
            <w:pPr>
              <w:spacing w:before="0" w:after="40" w:line="208" w:lineRule="exact"/>
              <w:jc w:val="left"/>
            </w:pPr>
            <w:r>
              <w:rPr>
                <w:rFonts w:ascii="Charis SIL" w:hAnsi="Charis SIL" w:cs="Charis SIL" w:eastAsia="Charis SIL"/>
                <w:b w:val="0"/>
                <w:i w:val="0"/>
                <w:color w:val="000000"/>
                <w:sz w:val="16"/>
              </w:rPr>
              <w:t>166</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≥50</w:t>
            </w:r>
          </w:p>
        </w:tc>
        <w:tc>
          <w:tcPr>
            <w:tcW w:type="dxa" w:w="1383"/>
          </w:tcPr>
          <w:p>
            <w:pPr>
              <w:spacing w:before="0" w:after="40" w:line="208" w:lineRule="exact"/>
              <w:jc w:val="left"/>
            </w:pPr>
            <w:r>
              <w:rPr>
                <w:rFonts w:ascii="Charis SIL" w:hAnsi="Charis SIL" w:cs="Charis SIL" w:eastAsia="Charis SIL"/>
                <w:b w:val="0"/>
                <w:i w:val="0"/>
                <w:color w:val="000000"/>
                <w:sz w:val="16"/>
              </w:rPr>
              <w:t>0.489</w:t>
            </w:r>
          </w:p>
        </w:tc>
        <w:tc>
          <w:tcPr>
            <w:tcW w:type="dxa" w:w="1383"/>
          </w:tcPr>
          <w:p>
            <w:pPr>
              <w:spacing w:before="0" w:after="40" w:line="208" w:lineRule="exact"/>
              <w:jc w:val="left"/>
            </w:pPr>
            <w:r>
              <w:rPr>
                <w:rFonts w:ascii="Charis SIL" w:hAnsi="Charis SIL" w:cs="Charis SIL" w:eastAsia="Charis SIL"/>
                <w:b w:val="0"/>
                <w:i w:val="0"/>
                <w:color w:val="000000"/>
                <w:sz w:val="16"/>
              </w:rPr>
              <w:t>0.347–0.634</w:t>
            </w:r>
          </w:p>
        </w:tc>
        <w:tc>
          <w:tcPr>
            <w:tcW w:type="dxa" w:w="1383"/>
          </w:tcPr>
          <w:p>
            <w:pPr>
              <w:spacing w:before="0" w:after="40" w:line="208" w:lineRule="exact"/>
              <w:jc w:val="left"/>
            </w:pPr>
            <w:r>
              <w:rPr>
                <w:rFonts w:ascii="Charis SIL" w:hAnsi="Charis SIL" w:cs="Charis SIL" w:eastAsia="Charis SIL"/>
                <w:b w:val="0"/>
                <w:i w:val="0"/>
                <w:color w:val="000000"/>
                <w:sz w:val="16"/>
              </w:rPr>
              <w:t>79</w:t>
            </w:r>
          </w:p>
        </w:tc>
        <w:tc>
          <w:tcPr>
            <w:tcW w:type="dxa" w:w="1383"/>
          </w:tcPr>
          <w:p>
            <w:pPr>
              <w:spacing w:before="0" w:after="40" w:line="208" w:lineRule="exact"/>
              <w:jc w:val="left"/>
            </w:pPr>
            <w:r>
              <w:rPr>
                <w:rFonts w:ascii="Charis SIL" w:hAnsi="Charis SIL" w:cs="Charis SIL" w:eastAsia="Charis SIL"/>
                <w:b w:val="0"/>
                <w:i w:val="0"/>
                <w:color w:val="000000"/>
                <w:sz w:val="16"/>
              </w:rPr>
              <w:t>0.522</w:t>
            </w:r>
          </w:p>
        </w:tc>
        <w:tc>
          <w:tcPr>
            <w:tcW w:type="dxa" w:w="1383"/>
          </w:tcPr>
          <w:p>
            <w:pPr>
              <w:spacing w:before="0" w:after="40" w:line="208" w:lineRule="exact"/>
              <w:jc w:val="left"/>
            </w:pPr>
            <w:r>
              <w:rPr>
                <w:rFonts w:ascii="Charis SIL" w:hAnsi="Charis SIL" w:cs="Charis SIL" w:eastAsia="Charis SIL"/>
                <w:b w:val="0"/>
                <w:i w:val="0"/>
                <w:color w:val="000000"/>
                <w:sz w:val="16"/>
              </w:rPr>
              <w:t>0.380–0.665</w:t>
            </w:r>
          </w:p>
        </w:tc>
        <w:tc>
          <w:tcPr>
            <w:tcW w:type="dxa" w:w="1383"/>
          </w:tcPr>
          <w:p>
            <w:pPr>
              <w:spacing w:before="0" w:after="40" w:line="208" w:lineRule="exact"/>
              <w:jc w:val="left"/>
            </w:pPr>
            <w:r>
              <w:rPr>
                <w:rFonts w:ascii="Charis SIL" w:hAnsi="Charis SIL" w:cs="Charis SIL" w:eastAsia="Charis SIL"/>
                <w:b w:val="0"/>
                <w:i w:val="0"/>
                <w:color w:val="000000"/>
                <w:sz w:val="16"/>
              </w:rPr>
              <w:t>82</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≥70</w:t>
            </w:r>
          </w:p>
        </w:tc>
        <w:tc>
          <w:tcPr>
            <w:tcW w:type="dxa" w:w="1383"/>
          </w:tcPr>
          <w:p>
            <w:pPr>
              <w:spacing w:before="0" w:after="40" w:line="208" w:lineRule="exact"/>
              <w:jc w:val="left"/>
            </w:pPr>
            <w:r>
              <w:rPr>
                <w:rFonts w:ascii="Charis SIL" w:hAnsi="Charis SIL" w:cs="Charis SIL" w:eastAsia="Charis SIL"/>
                <w:b w:val="0"/>
                <w:i w:val="0"/>
                <w:color w:val="000000"/>
                <w:sz w:val="16"/>
              </w:rPr>
              <w:t>0.459</w:t>
            </w:r>
          </w:p>
        </w:tc>
        <w:tc>
          <w:tcPr>
            <w:tcW w:type="dxa" w:w="1383"/>
          </w:tcPr>
          <w:p>
            <w:pPr>
              <w:spacing w:before="0" w:after="40" w:line="208" w:lineRule="exact"/>
              <w:jc w:val="left"/>
            </w:pPr>
            <w:r>
              <w:rPr>
                <w:rFonts w:ascii="Charis SIL" w:hAnsi="Charis SIL" w:cs="Charis SIL" w:eastAsia="Charis SIL"/>
                <w:b w:val="0"/>
                <w:i w:val="0"/>
                <w:color w:val="000000"/>
                <w:sz w:val="16"/>
              </w:rPr>
              <w:t>0.303–0.618</w:t>
            </w:r>
          </w:p>
        </w:tc>
        <w:tc>
          <w:tcPr>
            <w:tcW w:type="dxa" w:w="1383"/>
          </w:tcPr>
          <w:p>
            <w:pPr>
              <w:spacing w:before="0" w:after="40" w:line="208" w:lineRule="exact"/>
              <w:jc w:val="left"/>
            </w:pPr>
            <w:r>
              <w:rPr>
                <w:rFonts w:ascii="Charis SIL" w:hAnsi="Charis SIL" w:cs="Charis SIL" w:eastAsia="Charis SIL"/>
                <w:b w:val="0"/>
                <w:i w:val="0"/>
                <w:color w:val="000000"/>
                <w:sz w:val="16"/>
              </w:rPr>
              <w:t>60</w:t>
            </w:r>
          </w:p>
        </w:tc>
        <w:tc>
          <w:tcPr>
            <w:tcW w:type="dxa" w:w="1383"/>
          </w:tcPr>
          <w:p>
            <w:pPr>
              <w:spacing w:before="0" w:after="40" w:line="208" w:lineRule="exact"/>
              <w:jc w:val="left"/>
            </w:pPr>
            <w:r>
              <w:rPr>
                <w:rFonts w:ascii="Charis SIL" w:hAnsi="Charis SIL" w:cs="Charis SIL" w:eastAsia="Charis SIL"/>
                <w:b w:val="0"/>
                <w:i w:val="0"/>
                <w:color w:val="000000"/>
                <w:sz w:val="16"/>
              </w:rPr>
              <w:t>0.507</w:t>
            </w:r>
          </w:p>
        </w:tc>
        <w:tc>
          <w:tcPr>
            <w:tcW w:type="dxa" w:w="1383"/>
          </w:tcPr>
          <w:p>
            <w:pPr>
              <w:spacing w:before="0" w:after="40" w:line="208" w:lineRule="exact"/>
              <w:jc w:val="left"/>
            </w:pPr>
            <w:r>
              <w:rPr>
                <w:rFonts w:ascii="Charis SIL" w:hAnsi="Charis SIL" w:cs="Charis SIL" w:eastAsia="Charis SIL"/>
                <w:b w:val="0"/>
                <w:i w:val="0"/>
                <w:color w:val="000000"/>
                <w:sz w:val="16"/>
              </w:rPr>
              <w:t>0.351–0.663</w:t>
            </w:r>
          </w:p>
        </w:tc>
        <w:tc>
          <w:tcPr>
            <w:tcW w:type="dxa" w:w="1383"/>
          </w:tcPr>
          <w:p>
            <w:pPr>
              <w:spacing w:before="0" w:after="40" w:line="208" w:lineRule="exact"/>
              <w:jc w:val="left"/>
            </w:pPr>
            <w:r>
              <w:rPr>
                <w:rFonts w:ascii="Charis SIL" w:hAnsi="Charis SIL" w:cs="Charis SIL" w:eastAsia="Charis SIL"/>
                <w:b w:val="0"/>
                <w:i w:val="0"/>
                <w:color w:val="000000"/>
                <w:sz w:val="16"/>
              </w:rPr>
              <w:t>63</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≥70</w:t>
            </w:r>
          </w:p>
        </w:tc>
        <w:tc>
          <w:tcPr>
            <w:tcW w:type="dxa" w:w="1383"/>
          </w:tcPr>
          <w:p>
            <w:pPr>
              <w:spacing w:before="0" w:after="40" w:line="208" w:lineRule="exact"/>
              <w:jc w:val="left"/>
            </w:pPr>
            <w:r>
              <w:rPr>
                <w:rFonts w:ascii="Charis SIL" w:hAnsi="Charis SIL" w:cs="Charis SIL" w:eastAsia="Charis SIL"/>
                <w:b w:val="0"/>
                <w:i w:val="0"/>
                <w:color w:val="000000"/>
                <w:sz w:val="16"/>
              </w:rPr>
              <w:t>0.450</w:t>
            </w:r>
          </w:p>
        </w:tc>
        <w:tc>
          <w:tcPr>
            <w:tcW w:type="dxa" w:w="1383"/>
          </w:tcPr>
          <w:p>
            <w:pPr>
              <w:spacing w:before="0" w:after="40" w:line="208" w:lineRule="exact"/>
              <w:jc w:val="left"/>
            </w:pPr>
            <w:r>
              <w:rPr>
                <w:rFonts w:ascii="Charis SIL" w:hAnsi="Charis SIL" w:cs="Charis SIL" w:eastAsia="Charis SIL"/>
                <w:b w:val="0"/>
                <w:i w:val="0"/>
                <w:color w:val="000000"/>
                <w:sz w:val="16"/>
              </w:rPr>
              <w:t>0.288–0.606</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c>
          <w:tcPr>
            <w:tcW w:type="dxa" w:w="1383"/>
          </w:tcPr>
          <w:p>
            <w:pPr>
              <w:spacing w:before="0" w:after="40" w:line="208" w:lineRule="exact"/>
              <w:jc w:val="left"/>
            </w:pPr>
            <w:r>
              <w:rPr>
                <w:rFonts w:ascii="Charis SIL" w:hAnsi="Charis SIL" w:cs="Charis SIL" w:eastAsia="Charis SIL"/>
                <w:b w:val="0"/>
                <w:i w:val="0"/>
                <w:color w:val="000000"/>
                <w:sz w:val="16"/>
              </w:rPr>
              <w:t>0.500</w:t>
            </w:r>
          </w:p>
        </w:tc>
        <w:tc>
          <w:tcPr>
            <w:tcW w:type="dxa" w:w="1383"/>
          </w:tcPr>
          <w:p>
            <w:pPr>
              <w:spacing w:before="0" w:after="40" w:line="208" w:lineRule="exact"/>
              <w:jc w:val="left"/>
            </w:pPr>
            <w:r>
              <w:rPr>
                <w:rFonts w:ascii="Charis SIL" w:hAnsi="Charis SIL" w:cs="Charis SIL" w:eastAsia="Charis SIL"/>
                <w:b w:val="0"/>
                <w:i w:val="0"/>
                <w:color w:val="000000"/>
                <w:sz w:val="16"/>
              </w:rPr>
              <w:t>0.337–0.658</w:t>
            </w:r>
          </w:p>
        </w:tc>
        <w:tc>
          <w:tcPr>
            <w:tcW w:type="dxa" w:w="1383"/>
          </w:tcPr>
          <w:p>
            <w:pPr>
              <w:spacing w:before="0" w:after="40" w:line="208" w:lineRule="exact"/>
              <w:jc w:val="left"/>
            </w:pPr>
            <w:r>
              <w:rPr>
                <w:rFonts w:ascii="Charis SIL" w:hAnsi="Charis SIL" w:cs="Charis SIL" w:eastAsia="Charis SIL"/>
                <w:b w:val="0"/>
                <w:i w:val="0"/>
                <w:color w:val="000000"/>
                <w:sz w:val="16"/>
              </w:rPr>
              <w:t>61</w:t>
            </w:r>
          </w:p>
        </w:tc>
      </w:tr>
      <w:tr>
        <w:tc>
          <w:tcPr>
            <w:tcW w:type="dxa" w:w="1383"/>
          </w:tcPr>
          <w:p>
            <w:pPr>
              <w:spacing w:before="0" w:after="40" w:line="208" w:lineRule="exact"/>
              <w:jc w:val="left"/>
            </w:pPr>
            <w:r>
              <w:rPr>
                <w:rFonts w:ascii="Charis SIL" w:hAnsi="Charis SIL" w:cs="Charis SIL" w:eastAsia="Charis SIL"/>
                <w:b w:val="0"/>
                <w:i w:val="0"/>
                <w:color w:val="000000"/>
                <w:sz w:val="16"/>
              </w:rPr>
              <w:t>Site pLDDT ≥90</w:t>
            </w:r>
          </w:p>
        </w:tc>
        <w:tc>
          <w:tcPr>
            <w:tcW w:type="dxa" w:w="1383"/>
          </w:tcPr>
          <w:p>
            <w:pPr>
              <w:spacing w:before="0" w:after="40" w:line="208" w:lineRule="exact"/>
              <w:jc w:val="left"/>
            </w:pPr>
            <w:r>
              <w:rPr>
                <w:rFonts w:ascii="Charis SIL" w:hAnsi="Charis SIL" w:cs="Charis SIL" w:eastAsia="Charis SIL"/>
                <w:b w:val="0"/>
                <w:i w:val="0"/>
                <w:color w:val="000000"/>
                <w:sz w:val="16"/>
              </w:rPr>
              <w:t>0.570</w:t>
            </w:r>
          </w:p>
        </w:tc>
        <w:tc>
          <w:tcPr>
            <w:tcW w:type="dxa" w:w="1383"/>
          </w:tcPr>
          <w:p>
            <w:pPr>
              <w:spacing w:before="0" w:after="40" w:line="208" w:lineRule="exact"/>
              <w:jc w:val="left"/>
            </w:pPr>
            <w:r>
              <w:rPr>
                <w:rFonts w:ascii="Charis SIL" w:hAnsi="Charis SIL" w:cs="Charis SIL" w:eastAsia="Charis SIL"/>
                <w:b w:val="0"/>
                <w:i w:val="0"/>
                <w:color w:val="000000"/>
                <w:sz w:val="16"/>
              </w:rPr>
              <w:t>0.371–0.746</w:t>
            </w:r>
          </w:p>
        </w:tc>
        <w:tc>
          <w:tcPr>
            <w:tcW w:type="dxa" w:w="1383"/>
          </w:tcPr>
          <w:p>
            <w:pPr>
              <w:spacing w:before="0" w:after="40" w:line="208" w:lineRule="exact"/>
              <w:jc w:val="left"/>
            </w:pPr>
            <w:r>
              <w:rPr>
                <w:rFonts w:ascii="Charis SIL" w:hAnsi="Charis SIL" w:cs="Charis SIL" w:eastAsia="Charis SIL"/>
                <w:b w:val="0"/>
                <w:i w:val="0"/>
                <w:color w:val="000000"/>
                <w:sz w:val="16"/>
              </w:rPr>
              <w:t>35</w:t>
            </w:r>
          </w:p>
        </w:tc>
        <w:tc>
          <w:tcPr>
            <w:tcW w:type="dxa" w:w="1383"/>
          </w:tcPr>
          <w:p>
            <w:pPr>
              <w:spacing w:before="0" w:after="40" w:line="208" w:lineRule="exact"/>
              <w:jc w:val="left"/>
            </w:pPr>
            <w:r>
              <w:rPr>
                <w:rFonts w:ascii="Charis SIL" w:hAnsi="Charis SIL" w:cs="Charis SIL" w:eastAsia="Charis SIL"/>
                <w:b w:val="0"/>
                <w:i w:val="0"/>
                <w:color w:val="000000"/>
                <w:sz w:val="16"/>
              </w:rPr>
              <w:t>0.622</w:t>
            </w:r>
          </w:p>
        </w:tc>
        <w:tc>
          <w:tcPr>
            <w:tcW w:type="dxa" w:w="1383"/>
          </w:tcPr>
          <w:p>
            <w:pPr>
              <w:spacing w:before="0" w:after="40" w:line="208" w:lineRule="exact"/>
              <w:jc w:val="left"/>
            </w:pPr>
            <w:r>
              <w:rPr>
                <w:rFonts w:ascii="Charis SIL" w:hAnsi="Charis SIL" w:cs="Charis SIL" w:eastAsia="Charis SIL"/>
                <w:b w:val="0"/>
                <w:i w:val="0"/>
                <w:color w:val="000000"/>
                <w:sz w:val="16"/>
              </w:rPr>
              <w:t>0.435–0.791</w:t>
            </w:r>
          </w:p>
        </w:tc>
        <w:tc>
          <w:tcPr>
            <w:tcW w:type="dxa" w:w="1383"/>
          </w:tcPr>
          <w:p>
            <w:pPr>
              <w:spacing w:before="0" w:after="40" w:line="208" w:lineRule="exact"/>
              <w:jc w:val="left"/>
            </w:pPr>
            <w:r>
              <w:rPr>
                <w:rFonts w:ascii="Charis SIL" w:hAnsi="Charis SIL" w:cs="Charis SIL" w:eastAsia="Charis SIL"/>
                <w:b w:val="0"/>
                <w:i w:val="0"/>
                <w:color w:val="000000"/>
                <w:sz w:val="16"/>
              </w:rPr>
              <w:t>38</w:t>
            </w:r>
          </w:p>
        </w:tc>
      </w:tr>
      <w:tr>
        <w:tc>
          <w:tcPr>
            <w:tcW w:type="dxa" w:w="1383"/>
          </w:tcPr>
          <w:p>
            <w:pPr>
              <w:spacing w:before="0" w:after="40" w:line="208" w:lineRule="exact"/>
              <w:jc w:val="left"/>
            </w:pPr>
            <w:r>
              <w:rPr>
                <w:rFonts w:ascii="Charis SIL" w:hAnsi="Charis SIL" w:cs="Charis SIL" w:eastAsia="Charis SIL"/>
                <w:b w:val="0"/>
                <w:i w:val="0"/>
                <w:color w:val="000000"/>
                <w:sz w:val="16"/>
              </w:rPr>
              <w:t>Site and target pLDDT ≥90</w:t>
            </w:r>
          </w:p>
        </w:tc>
        <w:tc>
          <w:tcPr>
            <w:tcW w:type="dxa" w:w="1383"/>
          </w:tcPr>
          <w:p>
            <w:pPr>
              <w:spacing w:before="0" w:after="40" w:line="208" w:lineRule="exact"/>
              <w:jc w:val="left"/>
            </w:pPr>
            <w:r>
              <w:rPr>
                <w:rFonts w:ascii="Charis SIL" w:hAnsi="Charis SIL" w:cs="Charis SIL" w:eastAsia="Charis SIL"/>
                <w:b w:val="0"/>
                <w:i w:val="0"/>
                <w:color w:val="000000"/>
                <w:sz w:val="16"/>
              </w:rPr>
              <w:t>0.641</w:t>
            </w:r>
          </w:p>
        </w:tc>
        <w:tc>
          <w:tcPr>
            <w:tcW w:type="dxa" w:w="1383"/>
          </w:tcPr>
          <w:p>
            <w:pPr>
              <w:spacing w:before="0" w:after="40" w:line="208" w:lineRule="exact"/>
              <w:jc w:val="left"/>
            </w:pPr>
            <w:r>
              <w:rPr>
                <w:rFonts w:ascii="Charis SIL" w:hAnsi="Charis SIL" w:cs="Charis SIL" w:eastAsia="Charis SIL"/>
                <w:b w:val="0"/>
                <w:i w:val="0"/>
                <w:color w:val="000000"/>
                <w:sz w:val="16"/>
              </w:rPr>
              <w:t>0.464–0.789</w:t>
            </w:r>
          </w:p>
        </w:tc>
        <w:tc>
          <w:tcPr>
            <w:tcW w:type="dxa" w:w="1383"/>
          </w:tcPr>
          <w:p>
            <w:pPr>
              <w:spacing w:before="0" w:after="40" w:line="208" w:lineRule="exact"/>
              <w:jc w:val="left"/>
            </w:pPr>
            <w:r>
              <w:rPr>
                <w:rFonts w:ascii="Charis SIL" w:hAnsi="Charis SIL" w:cs="Charis SIL" w:eastAsia="Charis SIL"/>
                <w:b w:val="0"/>
                <w:i w:val="0"/>
                <w:color w:val="000000"/>
                <w:sz w:val="16"/>
              </w:rPr>
              <w:t>28</w:t>
            </w:r>
          </w:p>
        </w:tc>
        <w:tc>
          <w:tcPr>
            <w:tcW w:type="dxa" w:w="1383"/>
          </w:tcPr>
          <w:p>
            <w:pPr>
              <w:spacing w:before="0" w:after="40" w:line="208" w:lineRule="exact"/>
              <w:jc w:val="left"/>
            </w:pPr>
            <w:r>
              <w:rPr>
                <w:rFonts w:ascii="Charis SIL" w:hAnsi="Charis SIL" w:cs="Charis SIL" w:eastAsia="Charis SIL"/>
                <w:b w:val="0"/>
                <w:i w:val="0"/>
                <w:color w:val="000000"/>
                <w:sz w:val="16"/>
              </w:rPr>
              <w:t>0.697</w:t>
            </w:r>
          </w:p>
        </w:tc>
        <w:tc>
          <w:tcPr>
            <w:tcW w:type="dxa" w:w="1383"/>
          </w:tcPr>
          <w:p>
            <w:pPr>
              <w:spacing w:before="0" w:after="40" w:line="208" w:lineRule="exact"/>
              <w:jc w:val="left"/>
            </w:pPr>
            <w:r>
              <w:rPr>
                <w:rFonts w:ascii="Charis SIL" w:hAnsi="Charis SIL" w:cs="Charis SIL" w:eastAsia="Charis SIL"/>
                <w:b w:val="0"/>
                <w:i w:val="0"/>
                <w:color w:val="000000"/>
                <w:sz w:val="16"/>
              </w:rPr>
              <w:t>0.536–0.842</w:t>
            </w:r>
          </w:p>
        </w:tc>
        <w:tc>
          <w:tcPr>
            <w:tcW w:type="dxa" w:w="1383"/>
          </w:tcPr>
          <w:p>
            <w:pPr>
              <w:spacing w:before="0" w:after="40" w:line="208" w:lineRule="exact"/>
              <w:jc w:val="left"/>
            </w:pPr>
            <w:r>
              <w:rPr>
                <w:rFonts w:ascii="Charis SIL" w:hAnsi="Charis SIL" w:cs="Charis SIL" w:eastAsia="Charis SIL"/>
                <w:b w:val="0"/>
                <w:i w:val="0"/>
                <w:color w:val="000000"/>
                <w:sz w:val="16"/>
              </w:rPr>
              <w:t>31</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≤5 Å</w:t>
            </w:r>
          </w:p>
        </w:tc>
        <w:tc>
          <w:tcPr>
            <w:tcW w:type="dxa" w:w="1383"/>
          </w:tcPr>
          <w:p>
            <w:pPr>
              <w:spacing w:before="0" w:after="40" w:line="208" w:lineRule="exact"/>
              <w:jc w:val="left"/>
            </w:pPr>
            <w:r>
              <w:rPr>
                <w:rFonts w:ascii="Charis SIL" w:hAnsi="Charis SIL" w:cs="Charis SIL" w:eastAsia="Charis SIL"/>
                <w:b w:val="0"/>
                <w:i w:val="0"/>
                <w:color w:val="000000"/>
                <w:sz w:val="16"/>
              </w:rPr>
              <w:t>0.488</w:t>
            </w:r>
          </w:p>
        </w:tc>
        <w:tc>
          <w:tcPr>
            <w:tcW w:type="dxa" w:w="1383"/>
          </w:tcPr>
          <w:p>
            <w:pPr>
              <w:spacing w:before="0" w:after="40" w:line="208" w:lineRule="exact"/>
              <w:jc w:val="left"/>
            </w:pPr>
            <w:r>
              <w:rPr>
                <w:rFonts w:ascii="Charis SIL" w:hAnsi="Charis SIL" w:cs="Charis SIL" w:eastAsia="Charis SIL"/>
                <w:b w:val="0"/>
                <w:i w:val="0"/>
                <w:color w:val="000000"/>
                <w:sz w:val="16"/>
              </w:rPr>
              <w:t>0.261–0.666</w:t>
            </w:r>
          </w:p>
        </w:tc>
        <w:tc>
          <w:tcPr>
            <w:tcW w:type="dxa" w:w="1383"/>
          </w:tcPr>
          <w:p>
            <w:pPr>
              <w:spacing w:before="0" w:after="40" w:line="208" w:lineRule="exact"/>
              <w:jc w:val="left"/>
            </w:pPr>
            <w:r>
              <w:rPr>
                <w:rFonts w:ascii="Charis SIL" w:hAnsi="Charis SIL" w:cs="Charis SIL" w:eastAsia="Charis SIL"/>
                <w:b w:val="0"/>
                <w:i w:val="0"/>
                <w:color w:val="000000"/>
                <w:sz w:val="16"/>
              </w:rPr>
              <w:t>37</w:t>
            </w:r>
          </w:p>
        </w:tc>
        <w:tc>
          <w:tcPr>
            <w:tcW w:type="dxa" w:w="1383"/>
          </w:tcPr>
          <w:p>
            <w:pPr>
              <w:spacing w:before="0" w:after="40" w:line="208" w:lineRule="exact"/>
              <w:jc w:val="left"/>
            </w:pPr>
            <w:r>
              <w:rPr>
                <w:rFonts w:ascii="Charis SIL" w:hAnsi="Charis SIL" w:cs="Charis SIL" w:eastAsia="Charis SIL"/>
                <w:b w:val="0"/>
                <w:i w:val="0"/>
                <w:color w:val="000000"/>
                <w:sz w:val="16"/>
              </w:rPr>
              <w:t>0.555</w:t>
            </w:r>
          </w:p>
        </w:tc>
        <w:tc>
          <w:tcPr>
            <w:tcW w:type="dxa" w:w="1383"/>
          </w:tcPr>
          <w:p>
            <w:pPr>
              <w:spacing w:before="0" w:after="40" w:line="208" w:lineRule="exact"/>
              <w:jc w:val="left"/>
            </w:pPr>
            <w:r>
              <w:rPr>
                <w:rFonts w:ascii="Charis SIL" w:hAnsi="Charis SIL" w:cs="Charis SIL" w:eastAsia="Charis SIL"/>
                <w:b w:val="0"/>
                <w:i w:val="0"/>
                <w:color w:val="000000"/>
                <w:sz w:val="16"/>
              </w:rPr>
              <w:t>0.332–0.730</w:t>
            </w:r>
          </w:p>
        </w:tc>
        <w:tc>
          <w:tcPr>
            <w:tcW w:type="dxa" w:w="1383"/>
          </w:tcPr>
          <w:p>
            <w:pPr>
              <w:spacing w:before="0" w:after="40" w:line="208" w:lineRule="exact"/>
              <w:jc w:val="left"/>
            </w:pPr>
            <w:r>
              <w:rPr>
                <w:rFonts w:ascii="Charis SIL" w:hAnsi="Charis SIL" w:cs="Charis SIL" w:eastAsia="Charis SIL"/>
                <w:b w:val="0"/>
                <w:i w:val="0"/>
                <w:color w:val="000000"/>
                <w:sz w:val="16"/>
              </w:rPr>
              <w:t>40</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0.436</w:t>
            </w:r>
          </w:p>
        </w:tc>
        <w:tc>
          <w:tcPr>
            <w:tcW w:type="dxa" w:w="1383"/>
          </w:tcPr>
          <w:p>
            <w:pPr>
              <w:spacing w:before="0" w:after="40" w:line="208" w:lineRule="exact"/>
              <w:jc w:val="left"/>
            </w:pPr>
            <w:r>
              <w:rPr>
                <w:rFonts w:ascii="Charis SIL" w:hAnsi="Charis SIL" w:cs="Charis SIL" w:eastAsia="Charis SIL"/>
                <w:b w:val="0"/>
                <w:i w:val="0"/>
                <w:color w:val="000000"/>
                <w:sz w:val="16"/>
              </w:rPr>
              <w:t>0.208–0.633</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c>
          <w:tcPr>
            <w:tcW w:type="dxa" w:w="1383"/>
          </w:tcPr>
          <w:p>
            <w:pPr>
              <w:spacing w:before="0" w:after="40" w:line="208" w:lineRule="exact"/>
              <w:jc w:val="left"/>
            </w:pPr>
            <w:r>
              <w:rPr>
                <w:rFonts w:ascii="Charis SIL" w:hAnsi="Charis SIL" w:cs="Charis SIL" w:eastAsia="Charis SIL"/>
                <w:b w:val="0"/>
                <w:i w:val="0"/>
                <w:color w:val="000000"/>
                <w:sz w:val="16"/>
              </w:rPr>
              <w:t>0.496</w:t>
            </w:r>
          </w:p>
        </w:tc>
        <w:tc>
          <w:tcPr>
            <w:tcW w:type="dxa" w:w="1383"/>
          </w:tcPr>
          <w:p>
            <w:pPr>
              <w:spacing w:before="0" w:after="40" w:line="208" w:lineRule="exact"/>
              <w:jc w:val="left"/>
            </w:pPr>
            <w:r>
              <w:rPr>
                <w:rFonts w:ascii="Charis SIL" w:hAnsi="Charis SIL" w:cs="Charis SIL" w:eastAsia="Charis SIL"/>
                <w:b w:val="0"/>
                <w:i w:val="0"/>
                <w:color w:val="000000"/>
                <w:sz w:val="16"/>
              </w:rPr>
              <w:t>0.277–0.692</w:t>
            </w:r>
          </w:p>
        </w:tc>
        <w:tc>
          <w:tcPr>
            <w:tcW w:type="dxa" w:w="1383"/>
          </w:tcPr>
          <w:p>
            <w:pPr>
              <w:spacing w:before="0" w:after="40" w:line="208" w:lineRule="exact"/>
              <w:jc w:val="left"/>
            </w:pPr>
            <w:r>
              <w:rPr>
                <w:rFonts w:ascii="Charis SIL" w:hAnsi="Charis SIL" w:cs="Charis SIL" w:eastAsia="Charis SIL"/>
                <w:b w:val="0"/>
                <w:i w:val="0"/>
                <w:color w:val="000000"/>
                <w:sz w:val="16"/>
              </w:rPr>
              <w:t>47</w:t>
            </w:r>
          </w:p>
        </w:tc>
      </w:tr>
      <w:tr>
        <w:tc>
          <w:tcPr>
            <w:tcW w:type="dxa" w:w="1383"/>
          </w:tcPr>
          <w:p>
            <w:pPr>
              <w:spacing w:before="0" w:after="40" w:line="208" w:lineRule="exact"/>
              <w:jc w:val="left"/>
            </w:pP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≤15 Å</w:t>
            </w:r>
          </w:p>
        </w:tc>
        <w:tc>
          <w:tcPr>
            <w:tcW w:type="dxa" w:w="1383"/>
          </w:tcPr>
          <w:p>
            <w:pPr>
              <w:spacing w:before="0" w:after="40" w:line="208" w:lineRule="exact"/>
              <w:jc w:val="left"/>
            </w:pPr>
            <w:r>
              <w:rPr>
                <w:rFonts w:ascii="Charis SIL" w:hAnsi="Charis SIL" w:cs="Charis SIL" w:eastAsia="Charis SIL"/>
                <w:b w:val="0"/>
                <w:i w:val="0"/>
                <w:color w:val="000000"/>
                <w:sz w:val="16"/>
              </w:rPr>
              <w:t>0.520</w:t>
            </w:r>
          </w:p>
        </w:tc>
        <w:tc>
          <w:tcPr>
            <w:tcW w:type="dxa" w:w="1383"/>
          </w:tcPr>
          <w:p>
            <w:pPr>
              <w:spacing w:before="0" w:after="40" w:line="208" w:lineRule="exact"/>
              <w:jc w:val="left"/>
            </w:pPr>
            <w:r>
              <w:rPr>
                <w:rFonts w:ascii="Charis SIL" w:hAnsi="Charis SIL" w:cs="Charis SIL" w:eastAsia="Charis SIL"/>
                <w:b w:val="0"/>
                <w:i w:val="0"/>
                <w:color w:val="000000"/>
                <w:sz w:val="16"/>
              </w:rPr>
              <w:t>0.321–0.679</w:t>
            </w:r>
          </w:p>
        </w:tc>
        <w:tc>
          <w:tcPr>
            <w:tcW w:type="dxa" w:w="1383"/>
          </w:tcPr>
          <w:p>
            <w:pPr>
              <w:spacing w:before="0" w:after="40" w:line="208" w:lineRule="exact"/>
              <w:jc w:val="left"/>
            </w:pPr>
            <w:r>
              <w:rPr>
                <w:rFonts w:ascii="Charis SIL" w:hAnsi="Charis SIL" w:cs="Charis SIL" w:eastAsia="Charis SIL"/>
                <w:b w:val="0"/>
                <w:i w:val="0"/>
                <w:color w:val="000000"/>
                <w:sz w:val="16"/>
              </w:rPr>
              <w:t>55</w:t>
            </w:r>
          </w:p>
        </w:tc>
        <w:tc>
          <w:tcPr>
            <w:tcW w:type="dxa" w:w="1383"/>
          </w:tcPr>
          <w:p>
            <w:pPr>
              <w:spacing w:before="0" w:after="40" w:line="208" w:lineRule="exact"/>
              <w:jc w:val="left"/>
            </w:pPr>
            <w:r>
              <w:rPr>
                <w:rFonts w:ascii="Charis SIL" w:hAnsi="Charis SIL" w:cs="Charis SIL" w:eastAsia="Charis SIL"/>
                <w:b w:val="0"/>
                <w:i w:val="0"/>
                <w:color w:val="000000"/>
                <w:sz w:val="16"/>
              </w:rPr>
              <w:t>0.564</w:t>
            </w:r>
          </w:p>
        </w:tc>
        <w:tc>
          <w:tcPr>
            <w:tcW w:type="dxa" w:w="1383"/>
          </w:tcPr>
          <w:p>
            <w:pPr>
              <w:spacing w:before="0" w:after="40" w:line="208" w:lineRule="exact"/>
              <w:jc w:val="left"/>
            </w:pPr>
            <w:r>
              <w:rPr>
                <w:rFonts w:ascii="Charis SIL" w:hAnsi="Charis SIL" w:cs="Charis SIL" w:eastAsia="Charis SIL"/>
                <w:b w:val="0"/>
                <w:i w:val="0"/>
                <w:color w:val="000000"/>
                <w:sz w:val="16"/>
              </w:rPr>
              <w:t>0.377–0.714</w:t>
            </w:r>
          </w:p>
        </w:tc>
        <w:tc>
          <w:tcPr>
            <w:tcW w:type="dxa" w:w="1383"/>
          </w:tcPr>
          <w:p>
            <w:pPr>
              <w:spacing w:before="0" w:after="40" w:line="208" w:lineRule="exact"/>
              <w:jc w:val="left"/>
            </w:pPr>
            <w:r>
              <w:rPr>
                <w:rFonts w:ascii="Charis SIL" w:hAnsi="Charis SIL" w:cs="Charis SIL" w:eastAsia="Charis SIL"/>
                <w:b w:val="0"/>
                <w:i w:val="0"/>
                <w:color w:val="000000"/>
                <w:sz w:val="16"/>
              </w:rPr>
              <w:t>58</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≥70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0.416 (family minimum)</w:t>
            </w:r>
          </w:p>
        </w:tc>
        <w:tc>
          <w:tcPr>
            <w:tcW w:type="dxa" w:w="1383"/>
          </w:tcPr>
          <w:p>
            <w:pPr>
              <w:spacing w:before="0" w:after="40" w:line="208" w:lineRule="exact"/>
              <w:jc w:val="left"/>
            </w:pPr>
            <w:r>
              <w:rPr>
                <w:rFonts w:ascii="Charis SIL" w:hAnsi="Charis SIL" w:cs="Charis SIL" w:eastAsia="Charis SIL"/>
                <w:b w:val="0"/>
                <w:i w:val="0"/>
                <w:color w:val="000000"/>
                <w:sz w:val="16"/>
              </w:rPr>
              <w:t>0.192–0.617</w:t>
            </w:r>
          </w:p>
        </w:tc>
        <w:tc>
          <w:tcPr>
            <w:tcW w:type="dxa" w:w="1383"/>
          </w:tcPr>
          <w:p>
            <w:pPr>
              <w:spacing w:before="0" w:after="40" w:line="208" w:lineRule="exact"/>
              <w:jc w:val="left"/>
            </w:pPr>
            <w:r>
              <w:rPr>
                <w:rFonts w:ascii="Charis SIL" w:hAnsi="Charis SIL" w:cs="Charis SIL" w:eastAsia="Charis SIL"/>
                <w:b w:val="0"/>
                <w:i w:val="0"/>
                <w:color w:val="000000"/>
                <w:sz w:val="16"/>
              </w:rPr>
              <w:t>41</w:t>
            </w:r>
          </w:p>
        </w:tc>
        <w:tc>
          <w:tcPr>
            <w:tcW w:type="dxa" w:w="1383"/>
          </w:tcPr>
          <w:p>
            <w:pPr>
              <w:spacing w:before="0" w:after="40" w:line="208" w:lineRule="exact"/>
              <w:jc w:val="left"/>
            </w:pPr>
            <w:r>
              <w:rPr>
                <w:rFonts w:ascii="Charis SIL" w:hAnsi="Charis SIL" w:cs="Charis SIL" w:eastAsia="Charis SIL"/>
                <w:b w:val="0"/>
                <w:i w:val="0"/>
                <w:color w:val="000000"/>
                <w:sz w:val="16"/>
              </w:rPr>
              <w:t>0.486</w:t>
            </w:r>
          </w:p>
        </w:tc>
        <w:tc>
          <w:tcPr>
            <w:tcW w:type="dxa" w:w="1383"/>
          </w:tcPr>
          <w:p>
            <w:pPr>
              <w:spacing w:before="0" w:after="40" w:line="208" w:lineRule="exact"/>
              <w:jc w:val="left"/>
            </w:pPr>
            <w:r>
              <w:rPr>
                <w:rFonts w:ascii="Charis SIL" w:hAnsi="Charis SIL" w:cs="Charis SIL" w:eastAsia="Charis SIL"/>
                <w:b w:val="0"/>
                <w:i w:val="0"/>
                <w:color w:val="000000"/>
                <w:sz w:val="16"/>
              </w:rPr>
              <w:t>0.271–0.684</w:t>
            </w:r>
          </w:p>
        </w:tc>
        <w:tc>
          <w:tcPr>
            <w:tcW w:type="dxa" w:w="1383"/>
          </w:tcPr>
          <w:p>
            <w:pPr>
              <w:spacing w:before="0" w:after="40" w:line="208" w:lineRule="exact"/>
              <w:jc w:val="left"/>
            </w:pPr>
            <w:r>
              <w:rPr>
                <w:rFonts w:ascii="Charis SIL" w:hAnsi="Charis SIL" w:cs="Charis SIL" w:eastAsia="Charis SIL"/>
                <w:b w:val="0"/>
                <w:i w:val="0"/>
                <w:color w:val="000000"/>
                <w:sz w:val="16"/>
              </w:rPr>
              <w:t>44</w:t>
            </w:r>
          </w:p>
        </w:tc>
      </w:tr>
      <w:tr>
        <w:tc>
          <w:tcPr>
            <w:tcW w:type="dxa" w:w="1383"/>
          </w:tcPr>
          <w:p>
            <w:pPr>
              <w:spacing w:before="0" w:after="40" w:line="208" w:lineRule="exact"/>
              <w:jc w:val="left"/>
            </w:pPr>
            <w:r>
              <w:rPr>
                <w:rFonts w:ascii="Charis SIL" w:hAnsi="Charis SIL" w:cs="Charis SIL" w:eastAsia="Charis SIL"/>
                <w:b w:val="0"/>
                <w:i w:val="0"/>
                <w:color w:val="000000"/>
                <w:sz w:val="16"/>
              </w:rPr>
              <w:t xml:space="preserve">Both-residue pLDDT ≥90 and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xml:space="preserve"> ≤10 Å</w:t>
            </w:r>
          </w:p>
        </w:tc>
        <w:tc>
          <w:tcPr>
            <w:tcW w:type="dxa" w:w="1383"/>
          </w:tcPr>
          <w:p>
            <w:pPr>
              <w:spacing w:before="0" w:after="40" w:line="208" w:lineRule="exact"/>
              <w:jc w:val="left"/>
            </w:pPr>
            <w:r>
              <w:rPr>
                <w:rFonts w:ascii="Charis SIL" w:hAnsi="Charis SIL" w:cs="Charis SIL" w:eastAsia="Charis SIL"/>
                <w:b w:val="0"/>
                <w:i w:val="0"/>
                <w:color w:val="000000"/>
                <w:sz w:val="16"/>
              </w:rPr>
              <w:t>0.683 (family maximum)</w:t>
            </w:r>
          </w:p>
        </w:tc>
        <w:tc>
          <w:tcPr>
            <w:tcW w:type="dxa" w:w="1383"/>
          </w:tcPr>
          <w:p>
            <w:pPr>
              <w:spacing w:before="0" w:after="40" w:line="208" w:lineRule="exact"/>
              <w:jc w:val="left"/>
            </w:pPr>
            <w:r>
              <w:rPr>
                <w:rFonts w:ascii="Charis SIL" w:hAnsi="Charis SIL" w:cs="Charis SIL" w:eastAsia="Charis SIL"/>
                <w:b w:val="0"/>
                <w:i w:val="0"/>
                <w:color w:val="000000"/>
                <w:sz w:val="16"/>
              </w:rPr>
              <w:t>0.481–0.864</w:t>
            </w:r>
          </w:p>
        </w:tc>
        <w:tc>
          <w:tcPr>
            <w:tcW w:type="dxa" w:w="1383"/>
          </w:tcPr>
          <w:p>
            <w:pPr>
              <w:spacing w:before="0" w:after="40" w:line="208" w:lineRule="exact"/>
              <w:jc w:val="left"/>
            </w:pPr>
            <w:r>
              <w:rPr>
                <w:rFonts w:ascii="Charis SIL" w:hAnsi="Charis SIL" w:cs="Charis SIL" w:eastAsia="Charis SIL"/>
                <w:b w:val="0"/>
                <w:i w:val="0"/>
                <w:color w:val="000000"/>
                <w:sz w:val="16"/>
              </w:rPr>
              <w:t>27</w:t>
            </w:r>
          </w:p>
        </w:tc>
        <w:tc>
          <w:tcPr>
            <w:tcW w:type="dxa" w:w="1383"/>
          </w:tcPr>
          <w:p>
            <w:pPr>
              <w:spacing w:before="0" w:after="40" w:line="208" w:lineRule="exact"/>
              <w:jc w:val="left"/>
            </w:pPr>
            <w:r>
              <w:rPr>
                <w:rFonts w:ascii="Charis SIL" w:hAnsi="Charis SIL" w:cs="Charis SIL" w:eastAsia="Charis SIL"/>
                <w:b w:val="0"/>
                <w:i w:val="0"/>
                <w:color w:val="000000"/>
                <w:sz w:val="16"/>
              </w:rPr>
              <w:t>0.736</w:t>
            </w:r>
          </w:p>
        </w:tc>
        <w:tc>
          <w:tcPr>
            <w:tcW w:type="dxa" w:w="1383"/>
          </w:tcPr>
          <w:p>
            <w:pPr>
              <w:spacing w:before="0" w:after="40" w:line="208" w:lineRule="exact"/>
              <w:jc w:val="left"/>
            </w:pPr>
            <w:r>
              <w:rPr>
                <w:rFonts w:ascii="Charis SIL" w:hAnsi="Charis SIL" w:cs="Charis SIL" w:eastAsia="Charis SIL"/>
                <w:b w:val="0"/>
                <w:i w:val="0"/>
                <w:color w:val="000000"/>
                <w:sz w:val="16"/>
              </w:rPr>
              <w:t>0.553–0.903</w:t>
            </w:r>
          </w:p>
        </w:tc>
        <w:tc>
          <w:tcPr>
            <w:tcW w:type="dxa" w:w="1383"/>
          </w:tcPr>
          <w:p>
            <w:pPr>
              <w:spacing w:before="0" w:after="40" w:line="208" w:lineRule="exact"/>
              <w:jc w:val="left"/>
            </w:pPr>
            <w:r>
              <w:rPr>
                <w:rFonts w:ascii="Charis SIL" w:hAnsi="Charis SIL" w:cs="Charis SIL" w:eastAsia="Charis SIL"/>
                <w:b w:val="0"/>
                <w:i w:val="0"/>
                <w:color w:val="000000"/>
                <w:sz w:val="16"/>
              </w:rPr>
              <w:t>30</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All eleven strata are post hoc and are shown here and in Figure 2C for both cohort versions. The number of sites falls from 163 to 27 across the primary family, whose lowest and highest values are 0.416 and 0.683. Four strata kept fewer than their nominal 20,000 resamples: 19,999 for the two primary high-confidence rows, and 19,997 and 19,999 for their inclusive counterparts. Tightening the PAE threshold does not move the AUC steadily in either direction, in either cohort version.</w:t>
      </w:r>
    </w:p>
    <w:p>
      <w:pPr>
        <w:spacing w:before="240" w:after="120" w:line="284" w:lineRule="exact"/>
        <w:jc w:val="left"/>
      </w:pPr>
      <w:r>
        <w:rPr>
          <w:rFonts w:ascii="Charis SIL" w:hAnsi="Charis SIL" w:cs="Charis SIL" w:eastAsia="Charis SIL"/>
          <w:b/>
          <w:i w:val="0"/>
          <w:color w:val="000000"/>
          <w:sz w:val="22"/>
        </w:rPr>
        <w:t>Supplementary Note S3. The simulated reviews</w:t>
      </w:r>
    </w:p>
    <w:p>
      <w:pPr>
        <w:spacing w:before="0" w:after="200" w:line="284" w:lineRule="exact"/>
        <w:jc w:val="left"/>
      </w:pPr>
      <w:r>
        <w:rPr>
          <w:rFonts w:ascii="Charis SIL" w:hAnsi="Charis SIL" w:cs="Charis SIL" w:eastAsia="Charis SIL"/>
          <w:b w:val="0"/>
          <w:i w:val="0"/>
          <w:color w:val="000000"/>
          <w:sz w:val="20"/>
        </w:rPr>
        <w:t>Two rounds of simulated review were run against this manuscript, in which every reviewer was an AI agent running on one model family, together with an automated reference audit. They produced the revisions recorded in the analysis materials, including the retirement of an exclusion claim about the interval endpoint, the retirement of a claim that no positive control existed, the separation of the two human screens, and corrections to several literature summaries. None of it is peer review. Agreement among those reviewers is not independent replication, and no finding in this manuscript rests on their agreement rather than on a recomputation.</w:t>
      </w:r>
    </w:p>
    <w:p>
      <w:pPr>
        <w:spacing w:before="240" w:after="120" w:line="284" w:lineRule="exact"/>
        <w:jc w:val="left"/>
      </w:pPr>
      <w:r>
        <w:rPr>
          <w:rFonts w:ascii="Charis SIL" w:hAnsi="Charis SIL" w:cs="Charis SIL" w:eastAsia="Charis SIL"/>
          <w:b/>
          <w:i w:val="0"/>
          <w:color w:val="000000"/>
          <w:sz w:val="22"/>
        </w:rPr>
        <w:t>Supplementary Table S4. The 72-cell confidence-by-PAE grids</w:t>
      </w:r>
    </w:p>
    <w:p>
      <w:pPr>
        <w:spacing w:before="0" w:after="200" w:line="284" w:lineRule="exact"/>
        <w:jc w:val="left"/>
      </w:pPr>
      <w:r>
        <w:rPr>
          <w:rFonts w:ascii="Charis SIL" w:hAnsi="Charis SIL" w:cs="Charis SIL" w:eastAsia="Charis SIL"/>
          <w:b w:val="0"/>
          <w:i w:val="0"/>
          <w:color w:val="000000"/>
          <w:sz w:val="20"/>
        </w:rPr>
        <w:t>The four predicted-aligned-error summaries at 10 Å and the 72-cell grids are deposited with the analysis materials.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a published phosphosite-mutant screen</dc:subject>
  <dc:creator>Kyle Nguyen, Arkady Marchenko</dc:creator>
  <cp:keywords/>
  <dc:description/>
  <cp:lastModifiedBy/>
  <cp:revision>1</cp:revision>
  <dcterms:created xsi:type="dcterms:W3CDTF">2013-12-23T23:15:00Z</dcterms:created>
  <dcterms:modified xsi:type="dcterms:W3CDTF">2013-12-23T23:15:00Z</dcterms:modified>
  <cp:category/>
</cp:coreProperties>
</file>