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ktn965@my.utexas.edu</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1,470 base-edited sites in 787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0.558 (0.473–0.639) on a fitness screen and 0.483 (0.418–0.550)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0.607 (0.531–0.679), although its paired difference against distance contains zero. No paired difference in either cohort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1,470 sites in 787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284" w:lineRule="exact"/>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dc:creator>
  <cp:keywords>phosphorylation, AlphaFold, yeast, mutational phenotype, structural bioinformatics, exploratory analysis</cp:keywords>
  <dc:description/>
  <cp:lastModifiedBy>Kyle Nguyen, Arkady Marchenko</cp:lastModifiedBy>
  <cp:revision>1</cp:revision>
  <dcterms:created xsi:type="dcterms:W3CDTF">2026-08-18T07:12:18Z</dcterms:created>
  <dcterms:modified xsi:type="dcterms:W3CDTF">2026-08-18T07:12:18Z</dcterms:modified>
  <cp:category/>
</cp:coreProperties>
</file>