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ktnuyen04@gmail.com</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puts the declared predictor above chance within a protein.</w:t>
      </w:r>
    </w:p>
    <w:p>
      <w:pPr>
        <w:jc w:val="left"/>
      </w:pPr>
      <w:r>
        <w:drawing>
          <wp:inline xmlns:a="http://schemas.openxmlformats.org/drawingml/2006/main" xmlns:pic="http://schemas.openxmlformats.org/drawingml/2006/picture">
            <wp:extent cx="6146800" cy="2619714"/>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6146800" cy="2619714"/>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284" w:lineRule="exact"/>
        <w:jc w:val="left"/>
      </w:pPr>
    </w:p>
    <w:p>
      <w:pPr>
        <w:spacing w:before="0" w:after="200" w:line="284" w:lineRule="exact"/>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S1 Appendix.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rPr>
          <w:tblHeader w:val="true"/>
        </w:trP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S1 Fig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S2 Appendix.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S1 Fig. The eleven-stratum confidence family</w:t>
      </w:r>
    </w:p>
    <w:p>
      <w:pPr>
        <w:spacing w:before="0" w:after="200" w:line="284" w:lineRule="exact"/>
        <w:jc w:val="left"/>
      </w:pPr>
      <w:r>
        <w:rPr>
          <w:rFonts w:ascii="Charis SIL" w:hAnsi="Charis SIL" w:cs="Charis SIL" w:eastAsia="Charis SIL"/>
          <w:b w:val="0"/>
          <w:i w:val="0"/>
          <w:color w:val="000000"/>
          <w:sz w:val="20"/>
        </w:rPr>
        <w:t>Primary and inclusive arms across eleven model-confidence strata, from 163 sites down to 27. All post hoc. This occupied panel C of Fig 2 in an earlier version.</w:t>
      </w:r>
    </w:p>
    <w:p>
      <w:pPr>
        <w:spacing w:before="240" w:after="120" w:line="284" w:lineRule="exact"/>
        <w:jc w:val="left"/>
      </w:pPr>
      <w:r>
        <w:rPr>
          <w:rFonts w:ascii="Charis SIL" w:hAnsi="Charis SIL" w:cs="Charis SIL" w:eastAsia="Charis SIL"/>
          <w:b/>
          <w:i w:val="0"/>
          <w:color w:val="000000"/>
          <w:sz w:val="22"/>
        </w:rPr>
        <w:t>S2 Fig. Cohort, residue-class and feature-definition checks</w:t>
      </w:r>
    </w:p>
    <w:p>
      <w:pPr>
        <w:spacing w:before="0" w:after="200" w:line="284" w:lineRule="exact"/>
        <w:jc w:val="left"/>
      </w:pPr>
      <w:r>
        <w:rPr>
          <w:rFonts w:ascii="Charis SIL" w:hAnsi="Charis SIL" w:cs="Charis SIL" w:eastAsia="Charis SIL"/>
          <w:b w:val="0"/>
          <w:i w:val="0"/>
          <w:color w:val="000000"/>
          <w:sz w:val="20"/>
        </w:rPr>
        <w:t>Cohort versions, residue classes, alternative distance-feature definitions, and the post hoc SIFT comparator on common support, on one scale. All post hoc. This occupied panel D of Fig 2 in an earlier version.</w:t>
      </w:r>
    </w:p>
    <w:p>
      <w:pPr>
        <w:spacing w:before="240" w:after="120" w:line="284" w:lineRule="exact"/>
        <w:jc w:val="left"/>
      </w:pPr>
      <w:r>
        <w:rPr>
          <w:rFonts w:ascii="Charis SIL" w:hAnsi="Charis SIL" w:cs="Charis SIL" w:eastAsia="Charis SIL"/>
          <w:b/>
          <w:i w:val="0"/>
          <w:color w:val="000000"/>
          <w:sz w:val="22"/>
        </w:rPr>
        <w:t>S2 Table.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