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South Florida Growth Geographies: Data Summary</w:t>
      </w:r>
    </w:p>
    <w:p>
      <w:pPr>
        <w:spacing w:after="160"/>
      </w:pPr>
      <w:r>
        <w:rPr>
          <w:i/>
          <w:iCs/>
          <w:color w:val="6B7280"/>
          <w:sz w:val="18"/>
          <w:szCs w:val="18"/>
        </w:rPr>
        <w:t xml:space="preserve">KTAF 2030 growth planning · June 2026 · Source: KIPP Demographics tool (Miami-Dade &amp; Broward) unless noted</w:t>
      </w:r>
    </w:p>
    <w:p>
      <w:pPr>
        <w:spacing w:after="160"/>
      </w:pPr>
      <w:r>
        <w:t xml:space="preserve">This summary covers the three targeted geographies for KTAF growth in South Florida: Miami-Dade Central (M-DCPS Board District 2 / Greater Liberty City), Miami-Dade South (M-DCPS Board District 9 / Greater Homestead), and Broward Central (BCPS Board District 5 / Greater Lauderhill). All three rank at or near the top of their county on the tool’s suitability score, and all three show a consistent pattern: modest overall population growth, a large but shrinking K–8 population, and district-run enrollment declining faster than charter enrollment.</w:t>
      </w:r>
    </w:p>
    <w:p>
      <w:pPr>
        <w:pStyle w:val="Heading2"/>
      </w:pPr>
      <w:r>
        <w:t xml:space="preserve">County context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000"/>
        <w:gridCol w:w="3000"/>
      </w:tblGrid>
      <w:tr>
        <w:trPr>
          <w:tblHeader/>
        </w:trP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Broward County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Miami-Dade County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Population, April 2020 (Census)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1,944,376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2,701,762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Population, July 2025 (Census est.)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2,013,317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2,802,029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Actual growth, 2020–2025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+68,941  (+3.5%)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+100,267  (+3.7%)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Projected population, 2030 (tool)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1,980,057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2,700,504</w:t>
            </w:r>
          </w:p>
        </w:tc>
      </w:tr>
      <w:tr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Projected growth, 2025–2030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+15,697  (+0.8%)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+504  (≈0.0%)</w:t>
            </w:r>
          </w:p>
        </w:tc>
      </w:tr>
    </w:tbl>
    <w:p>
      <w:pPr>
        <w:spacing w:after="100" w:before="100"/>
      </w:pPr>
      <w:r>
        <w:rPr>
          <w:sz w:val="19"/>
          <w:szCs w:val="19"/>
        </w:rPr>
        <w:t xml:space="preserve">Both counties grew solidly from 2020 to 2025, with the Census series suggesting most of that growth came earlier in the period. The tool projects near-flat growth through 2030 — and the school-age slice is projected to shrink outright: K–4 population down roughly 10% and grades 5–8 down roughly 14% in both counties by 2030. The planning implication is direct: enrollment growth in South Florida will come from market share, not market growth.</w:t>
      </w:r>
    </w:p>
    <w:p>
      <w:pPr>
        <w:pStyle w:val="Heading2"/>
      </w:pPr>
      <w:r>
        <w:t xml:space="preserve">The three target geographies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2100"/>
        <w:gridCol w:w="2100"/>
        <w:gridCol w:w="2100"/>
      </w:tblGrid>
      <w:tr>
        <w:trPr>
          <w:tblHeader/>
        </w:trP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Broward Central</w:t>
            </w:r>
          </w:p>
          <w:p>
            <w:pPr>
              <w:jc w:val="right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BCPS D5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Miami-Dade Central</w:t>
            </w:r>
          </w:p>
          <w:p>
            <w:pPr>
              <w:jc w:val="right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M-DCPS D2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Miami-Dade South</w:t>
            </w:r>
          </w:p>
          <w:p>
            <w:pPr>
              <w:jc w:val="right"/>
            </w:pPr>
            <w:r>
              <w:rPr>
                <w:b w:val="false"/>
                <w:bCs w:val="false"/>
                <w:color w:val="FFFFFF"/>
                <w:sz w:val="17"/>
                <w:szCs w:val="17"/>
              </w:rPr>
              <w:t xml:space="preserve">M-DCPS D9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Anchor communities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Greater Lauderhill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Greater Liberty City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Greater Homestead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Population, 2025 (proj.)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284,811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312,372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319,090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Recent growth, 2023→2025*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+3,079  (+1.1%)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+1,855  (+0.6%)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+3,810  (+1.2%)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Projected growth, 2025–2030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+3,168  (+1.1%)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+684  (+0.2%)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+3,229  (+1.0%)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K–8 population (2023 ACS)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34,275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33,902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43,186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% Black (all ages)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62.3%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44.2%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19.1%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% Hispanic (all ages)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17.8%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48.1%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63.3%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% households under $50k HHI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45.9%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52.2%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33.6%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% households receiving SNAP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22.4%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35.3%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25.0%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Median household income (≈)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$62,100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$55,700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$86,300</w:t>
            </w:r>
          </w:p>
        </w:tc>
      </w:tr>
      <w:tr>
        <w:tc>
          <w:tcPr>
            <w:tcW w:type="dxa" w:w="30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Suitability score (tool default)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83.8  ·  #1 of 7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70.0  ·  #1 of 9</w:t>
            </w:r>
          </w:p>
        </w:tc>
        <w:tc>
          <w:tcPr>
            <w:tcW w:type="dxa" w:w="21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67.3  ·  #2 of 9</w:t>
            </w:r>
          </w:p>
        </w:tc>
      </w:tr>
    </w:tbl>
    <w:p>
      <w:pPr>
        <w:spacing w:after="0" w:before="80"/>
      </w:pPr>
      <w:r>
        <w:rPr>
          <w:i/>
          <w:iCs/>
          <w:color w:val="6B7280"/>
          <w:sz w:val="16"/>
          <w:szCs w:val="16"/>
        </w:rPr>
        <w:t xml:space="preserve">* District-level actuals for 2020–2025 are not published (school board districts are not census geographies). “Recent growth” shows the tool’s 2023 ACS baseline against its 2025 projection — the closest available proxy.</w:t>
      </w:r>
    </w:p>
    <w:p>
      <w:pPr>
        <w:pStyle w:val="Heading2"/>
        <w:pageBreakBefore/>
      </w:pPr>
      <w:r>
        <w:t xml:space="preserve">What the numbers say about each geography</w:t>
      </w:r>
    </w:p>
    <w:p>
      <w:pPr>
        <w:spacing w:after="120"/>
      </w:pPr>
      <w:r>
        <w:t xml:space="preserve">Broward Central (BCPS D5 / Greater Lauderhill) is the strongest profile in the tool: the #1 suitability score in either county (83.8 of 100), the highest projected population growth rate of the three, a majority-Black community (62%), and nearly half of households under $50k income. Its K–8 population (~34,300) is comparable to Miami-Dade Central’s.</w:t>
      </w:r>
    </w:p>
    <w:p>
      <w:pPr>
        <w:spacing w:after="120"/>
      </w:pPr>
      <w:r>
        <w:t xml:space="preserve">Miami-Dade Central (M-DCPS D2 / Greater Liberty City) ranks #1 of 9 in Miami-Dade on suitability (70.0). It has the highest economic need of the three geographies — 52% of households under $50k and 35% receiving SNAP — but also the flattest population trajectory (+0.2% projected through 2030). It is the one geography where charter enrollment is growing fast (+20% in four years) while district-run enrollment falls.</w:t>
      </w:r>
    </w:p>
    <w:p>
      <w:pPr>
        <w:spacing w:after="160"/>
      </w:pPr>
      <w:r>
        <w:t xml:space="preserve">Miami-Dade South (M-DCPS D9 / Greater Homestead) ranks #2 of 9 in Miami-Dade (67.3). It has the largest K–8 population of the three (~43,200, roughly 26% larger than the other two) and strong projected growth (+1.0%), with a heavily Hispanic population (63%). Income levels are higher and charter saturation is already substantial — charters enroll about 36% of public school students there, versus roughly 11–15% in the other two geographies.</w:t>
      </w:r>
    </w:p>
    <w:p>
      <w:pPr>
        <w:pStyle w:val="Heading2"/>
      </w:pPr>
      <w:r>
        <w:t xml:space="preserve">Enrollment: charter vs. district-run, 2021–22 to 2025–26</w:t>
      </w:r>
    </w:p>
    <w:p>
      <w:pPr>
        <w:spacing w:after="120"/>
      </w:pPr>
      <w:r>
        <w:t xml:space="preserve">Public school enrollment is falling in all three geographies, consistent with the countywide school-age decline. The split between district-run and charter schools differs sharply by geography. (The tool’s enrollment series begins in 2021–22; 2020–21 is not available.)</w:t>
      </w:r>
    </w:p>
    <w:p>
      <w:pPr>
        <w:spacing w:after="120"/>
        <w:jc w:val="center"/>
      </w:pPr>
      <w:r>
        <w:drawing>
          <wp:inline distT="0" distB="0" distL="0" distR="0">
            <wp:extent cx="5715000" cy="2257425"/>
            <wp:effectExtent t="0" r="0" b="0" l="0"/>
            <wp:docPr id="1" name="enroll_chart" descr="Charter vs district enrollment change by geography" title="Enrollment change 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</w:pPr>
      <w:r>
        <w:rPr>
          <w:b/>
          <w:bCs/>
          <w:sz w:val="20"/>
          <w:szCs w:val="20"/>
        </w:rPr>
        <w:t xml:space="preserve">Broward Central (BCPS D5)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10"/>
        <w:gridCol w:w="1710"/>
        <w:gridCol w:w="1710"/>
        <w:gridCol w:w="1710"/>
      </w:tblGrid>
      <w:tr>
        <w:trPr>
          <w:tblHeader/>
        </w:trP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2021–22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2025–26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(n)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(%)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BCPS D5 — District-run (33)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27,803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25,049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−2,754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−9.9%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BCPS D5 — Charter (7)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3,208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2,955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−253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−7.9%</w:t>
            </w:r>
          </w:p>
        </w:tc>
      </w:tr>
    </w:tbl>
    <w:p>
      <w:pPr>
        <w:pageBreakBefore/>
        <w:spacing w:after="40"/>
      </w:pPr>
      <w:r>
        <w:rPr>
          <w:b/>
          <w:bCs/>
          <w:sz w:val="20"/>
          <w:szCs w:val="20"/>
        </w:rPr>
        <w:t xml:space="preserve">Miami-Dade Central (M-DCPS D2)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10"/>
        <w:gridCol w:w="1710"/>
        <w:gridCol w:w="1710"/>
        <w:gridCol w:w="1710"/>
      </w:tblGrid>
      <w:tr>
        <w:trPr>
          <w:tblHeader/>
        </w:trP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2021–22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2025–26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(n)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(%)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M-DCPS D2 — District-run (63)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29,382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26,525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−2,857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−9.7%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M-DCPS D2 — Charter (13)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3,976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4,775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+799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+20.1%</w:t>
            </w:r>
          </w:p>
        </w:tc>
      </w:tr>
    </w:tbl>
    <w:p>
      <w:pPr>
        <w:spacing w:after="40" w:before="120"/>
      </w:pPr>
      <w:r>
        <w:rPr>
          <w:b/>
          <w:bCs/>
          <w:sz w:val="20"/>
          <w:szCs w:val="20"/>
        </w:rPr>
        <w:t xml:space="preserve">Miami-Dade South (M-DCPS D9)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1710"/>
        <w:gridCol w:w="1710"/>
        <w:gridCol w:w="1710"/>
        <w:gridCol w:w="1710"/>
      </w:tblGrid>
      <w:tr>
        <w:trPr>
          <w:tblHeader/>
        </w:trP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2021–22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2025–26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(n)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7C2D1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Change (%)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M-DCPS D9 — District-run (46)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32,291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30,767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−1,524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−4.7%</w:t>
            </w:r>
          </w:p>
        </w:tc>
      </w:tr>
      <w:tr>
        <w:tc>
          <w:tcPr>
            <w:tcW w:type="dxa" w:w="25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color w:val="111827"/>
                <w:sz w:val="19"/>
                <w:szCs w:val="19"/>
              </w:rPr>
              <w:t xml:space="preserve">M-DCPS D9 — Charter (31)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17,410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17,529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+119</w:t>
            </w:r>
          </w:p>
        </w:tc>
        <w:tc>
          <w:tcPr>
            <w:tcW w:type="dxa" w:w="171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jc w:val="right"/>
            </w:pPr>
            <w:r>
              <w:rPr>
                <w:b w:val="false"/>
                <w:bCs w:val="false"/>
                <w:color w:val="111827"/>
                <w:sz w:val="19"/>
                <w:szCs w:val="19"/>
              </w:rPr>
              <w:t xml:space="preserve">+0.7%</w:t>
            </w:r>
          </w:p>
        </w:tc>
      </w:tr>
    </w:tbl>
    <w:p>
      <w:pPr>
        <w:spacing w:after="120" w:before="120"/>
      </w:pPr>
      <w:r>
        <w:rPr>
          <w:sz w:val="19"/>
          <w:szCs w:val="19"/>
        </w:rPr>
        <w:t xml:space="preserve">Read: In D2, families leaving district-run schools are choosing charters — charter seats grew 20% while district-run enrollment fell 10%, pointing to unmet demand for alternatives. In D5, both sectors shrank, so a new school’s case rests on quality and the district’s top suitability fundamentals rather than a rising charter tide. In D9, charters already hold a large, stable share of a bigger K–8 market.</w:t>
      </w:r>
    </w:p>
    <w:p>
      <w:pPr>
        <w:pStyle w:val="Heading2"/>
      </w:pPr>
      <w:r>
        <w:t xml:space="preserve">Data notes and gaps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Counts of schools per sector appear in parentheses in each table. Schools were assigned to board districts by mapping each school’s location against district boundaries in the tool.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Actual county growth 2020–2025 comes from U.S. Census Bureau Vintage 2025 estimates (census.gov QuickFacts), not the tool — the tool’s baseline is 2023 ACS with 2025/2030 projections. The two series differ slightly (e.g., the tool’s 2025 Broward figure is ~2.5% below the Census estimate).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Not in the tool: actual 2020–2025 population at the board-district level (not published anywhere; see proxy note on page 1) and 2020–21 enrollment (the tool’s series runs 2021–22 through 2025–26).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K–8 population is estimated from ACS age bands (ages 5–13), the same approximation used by ESRI and most vendors. Suitability is the tool’s default-weight composite (K–8 population 40 pts, economic need 20, demographics 20, growth 15, total population 5), scored relative to other districts in the same county.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sz w:val="18"/>
          <w:szCs w:val="18"/>
        </w:rPr>
        <w:t xml:space="preserve">Charter enrollment in D5 excludes charters just outside the district line (e.g., in neighboring Plantation/Sunrise) that draw D5 families; the tool’s 5-mile-radius view is better for catchment analysis than hard district boundaries.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KIPP Team &amp; Family · South Florida Growth Planning · Page </w:t>
    </w:r>
    <w:r>
      <w:rPr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B7280"/>
        <w:sz w:val="16"/>
        <w:szCs w:val="16"/>
      </w:rPr>
      <w:t xml:space="preserve"> of 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5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60" w:before="0"/>
      <w:outlineLvl w:val="0"/>
    </w:pPr>
    <w:rPr>
      <w:rFonts w:ascii="Calibri" w:cs="Calibri" w:eastAsia="Calibri" w:hAnsi="Calibri"/>
      <w:b/>
      <w:bCs/>
      <w:color w:val="111827"/>
      <w:sz w:val="34"/>
      <w:szCs w:val="34"/>
    </w:rPr>
  </w:style>
  <w:style w:type="paragraph" w:styleId="Heading2">
    <w:name w:val="Heading 2"/>
    <w:basedOn w:val="Normal"/>
    <w:next w:val="Normal"/>
    <w:qFormat/>
    <w:pPr>
      <w:pBdr>
        <w:bottom w:val="single" w:color="FDBA74" w:sz="6" w:space="2"/>
      </w:pBdr>
      <w:spacing w:after="100" w:before="200"/>
      <w:outlineLvl w:val="1"/>
    </w:pPr>
    <w:rPr>
      <w:rFonts w:ascii="Calibri" w:cs="Calibri" w:eastAsia="Calibri" w:hAnsi="Calibri"/>
      <w:b/>
      <w:bCs/>
      <w:color w:val="C2410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605a4337ef92fdeb005a4822f2080eb581fc10e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2026-06-11T23:04:36.212Z</dcterms:created>
  <dcterms:modified xsi:type="dcterms:W3CDTF">2026-06-11T23:04:36.212Z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