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【補充實務章節｜增強版】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模型權重的本質與訓練狀態識別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從靜態診斷到頻譜分析的完整實務指南</w:t>
      </w:r>
    </w:p>
    <w:p>
      <w:pPr>
        <w:pBdr>
          <w:bottom w:val="single" w:color="BDD7EE" w:sz="6" w:space="1"/>
        </w:pBdr>
        <w:spacing w:after="400" w:before="6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建議插入位置：第六章「模型訓練：從預訓練到對齊」之後　｜　可作為獨立附錄或 6.x 補充節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原書目錄與本章插入位置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以下為原書《完整 AI 模型架構與運作原理》各章目錄，★ 標示本文件建議插入的位置。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章次</w:t>
            </w:r>
          </w:p>
        </w:tc>
        <w:tc>
          <w:tcPr>
            <w:tcW w:type="dxa" w:w="6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標題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一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文件定位與原 HTML 修正結論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二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系統總覽：模型只是其中一層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三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模型架構總分類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四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Transformer 核心：所有主流 LLM 的共同骨架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五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Attention、位置編碼與 KV Cache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六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模型訓練：從預訓練到對齊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六補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▶ 本文件：模型權重的本質與訓練狀態識別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← 建議插入此處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七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推論與生成策略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八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RAG：外部知識、向量檢索與引用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九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多模態、圖像、語音與文件理解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十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MoE、Agent 與工具調用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十一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部署、量化、成本與可靠性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十二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原檔修正表與建議新增章節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十三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可圖表化清單與後續書稿延伸方向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十四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參考資料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一、什麼是模型權重？架構與數值的區別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架構是模型的骨架，定義了計算圖形狀；權重是填入的數值，是訓練真正改變的東西。同一個架構搭配不同的權重，行為可以天差地遠。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dxa" w:w="35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類比</w:t>
            </w:r>
          </w:p>
        </w:tc>
        <w:tc>
          <w:tcPr>
            <w:tcW w:type="dxa" w:w="35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決定什麼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架構（Architecture）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房子的平面圖、幾個房間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計算圖的形狀、參數量、輸入輸出格式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權重（Weights）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房子裡的所有家具與裝飾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模型對資料的實際反應、輸出行為、能力強弱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訓練（Training）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把家具從隨機擺放調整到適合居住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讓權重從初始化逐步調整到能完成任務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　一份 .pth 檔案裡有什麼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檔案內容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診斷用途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data.pkl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描述所有 tensor 的名稱、shape、dtype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可知道模型有哪些層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data/0, 1, 2...（storage）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每個 tensor 的實際浮點數值（binary）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可直接讀取，不需要 torch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config.json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vocab_size、num_layers、embed_dim 等架構設定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知道架構才能正確載入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training_state.pth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Adam optimizer 動量，體積為模型 1.5～2 倍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有此檔表示可繼續訓練，非純推論版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二、Transformer 權重的 Tensor 分類與初始化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判斷是否訓練過之前，必須先理解 Transformer 權重由哪些 tensor 組成，以及各自的初始化方式。「初始化」決定了訓練前的起點，是靜態診斷的理論基礎。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1800"/>
        <w:gridCol w:w="17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Tensor 類型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典型大小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常見初始化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初始值特徵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訓練後變化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Token Embedding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vocab × embed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Normal(0, 0.02)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std ≈ 0.02，均勻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語義結構顯現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Attention QKV weight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 × 3×embed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Normal(0, 0.02)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std ≈ 0.02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head 特化，std 輕微漂移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FFN weight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 × ffn_dim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Normal(0, 0.02)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std ≈ 0.02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稀疏激活模式逐漸形成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Bias（所有 Linear）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1D，輸出維度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zeros_() → 精確為 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9"/>
                <w:szCs w:val="19"/>
              </w:rPr>
              <w:t xml:space="preserve">std = 0（最強指標）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從 0 擴散，差 500~1800 倍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LayerNorm weight (γ)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1D，embed_dim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ones_()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std = 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偏離 1.0，各維度分化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LayerNorm bias (β)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1D，embed_dim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zeros_()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std = 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從 0 偏移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8"/>
              <w:left w:val="single" w:color="538135" w:sz="24"/>
              <w:bottom w:val="single" w:color="CCCCCC" w:sz="4"/>
              <w:right w:val="single" w:color="CCCCCC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8135"/>
                <w:sz w:val="20"/>
                <w:szCs w:val="20"/>
              </w:rPr>
              <w:t xml:space="preserve">核心原則：Bias 初始化為 0 是跨框架的普遍慣例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Bias 初始化為 0 不是某個架構的特殊設計，而是 PyTorch、TensorFlow、JAX 等所有主流框架的預設行為，背後有理論依據：對稱性破壞由 weight 的隨機初始化負責，bias 從中性點（0）出發可確保訓練初期輸出的均衡性。因此這個特性在所有遵循標準初始化的模型中都成立。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三、診斷方法全景：七種主要技術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判斷一份模型權重是否訓練過，學術界與業界已發展出多種技術。本章從最簡單的靜態方法到進階的頻譜分析，依照難度與資訊密度分層介紹，讀者可依手頭工具與需求選用。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600"/>
        <w:gridCol w:w="1200"/>
        <w:gridCol w:w="1400"/>
        <w:gridCol w:w="23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需要原始版本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難度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需要 torch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主要用途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Bias Std 分析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✗ 不需要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★☆☆ 低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✗ 不需要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最快速判斷有無訓練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Weight Matrix Std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△ 需知初始化方式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★☆☆ 低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✗ 不需要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輔助驗證，但信號較弱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 距離 / Cosine Similarity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9"/>
                <w:szCs w:val="19"/>
              </w:rPr>
              <w:t xml:space="preserve">✓ 必須有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 中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建議用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量化訓練量、比較版本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死亡神經元分析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✗ 不需要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 中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需要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偵測 ReLU 死亡模式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9"/>
                <w:szCs w:val="19"/>
              </w:rPr>
              <w:t xml:space="preserve">⑤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頻譜分析（SVD / ESD）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✗ 不需要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 高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需要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最深層的訓練信號，可評估品質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5C"/>
                <w:sz w:val="19"/>
                <w:szCs w:val="19"/>
              </w:rPr>
              <w:t xml:space="preserve">⑥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WeightWatcher（Alpha 指標）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✗ 不需要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 中（工具化）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需要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一鍵評估品質，有學術支撐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⑦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模型浮水印 / 溯源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視方法而定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 高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視方法而定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驗證所有權、偵測竊取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　方法①：Bias Std 分析（最快速，不需 torch）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原理：bias 初始化為精確的 0，未訓練模型中每個 bias tensor 的 std 趨近 0。只要有任何梯度更新，std 立刻上升 500~1800 倍。這是最簡單可靠的「有沒有訓練」判斷。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CCCCCC" w:sz="4"/>
              <w:right w:val="single" w:color="CCCCCC" w:sz="4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判斷規則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 micro tensor（&lt; 5 KB）的 std &lt; 0.0002 → 高度疑似未訓練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 micro tensor 的 std &gt; 0.0005 → 確定已訓練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部分 std ≈ 0、部分非零 → 可能是部分層凍結（frozen）的 fine-tune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不需要 torch — 純 Python 靜態診斷（概念版）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zipfile, struct, math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zipfile.ZipFile('model.pth') as zf: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micro = [n for n in zf.namelist()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if n.split('/')[-1].isdigit()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and zf.getinfo(n).file_size &lt; 5000]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bias_stds = 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name in micro: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raw = zf.open(name).read()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vals = [struct.unpack('&lt;f', raw[i:i+4])[0]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for i in range(0, len(raw)-3, 4)]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mean = sum(vals) / len(vals)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std  = (sum((x-mean)**2 for x in vals)/len(vals))**0.5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bias_stds.append(std)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zero_count = sum(1 for s in bias_stds if s &lt; 0.0002)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zero_count == len(bias_stds):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print('⚠️  所有 bias std ≈ 0 → 疑似未訓練')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zero_count ==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print('✅  所有 bias 已離開初始值 → 確定已訓練')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　方法②：Weight Matrix Std（輔助指標）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Weight 矩陣的初始化通常為 Normal(0, 0.02)。訓練後 std 可能輕微漂移，但因為初始值本身就有隨機分散，訓練帶來的改變往往被淹沒在初始隨機性中，信號遠不如 bias 清晰。此方法需先知道該架構的初始化方式才能解讀，不建議單獨使用。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8"/>
              <w:left w:val="single" w:color="7F6000" w:sz="24"/>
              <w:bottom w:val="single" w:color="CCCCCC" w:sz="4"/>
              <w:right w:val="single" w:color="CCCCCC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使用限制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若不知道初始化是 Normal(0, 0.02)、Xavier、He 的哪一種，就無法判斷當前的 std 是正常初始值還是訓練後的結果。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 std 作為輔助指標：配合 Bias Std 一起看，可提高可信度；單獨看則不可靠。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　方法③：L2 距離與 Cosine Similarity（需要原始版本）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當你同時擁有兩個版本時，L2 距離衡量「兩份權重整體偏離了多少」，Cosine Similarity 衡量「輸出方向改變了多少」，逐 tensor 比較可找出「哪些層變化最大」。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公式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解讀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使用時機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相對 L2 距離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||W_train − W_orig||₂ / ||W_orig||₂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0.01 幾乎沒訓練；&gt; 0.05 明顯訓練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判斷整體訓練量，比較兩個版本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Cosine Similarity（輸出層）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cos(out_orig, out_train)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接近 1 = 方向不變；≈ 0 = 完全不同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判斷輸出行為是否實質改變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逐 tensor max diff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max|W_train − W_orig|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找出改變最大的層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判斷哪些層被訓練/凍結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　方法④：死亡神經元分析（Dead Neurons）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「死亡 ReLU」（Dying ReLU）是深度學習訓練中的已知現象：ReLU 神經元在訓練過程中可能永遠輸出 0，對任何輸入都沒有反應。這個現象提供了一個間接的訓練指標——未訓練的模型不會有死亡神經元的特定模式，而訓練後的模型往往在某些位置形成穩定的死亡神經元群。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ReLU 神經元行為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如何偵測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未訓練（隨機初始化）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輸出為正負隨機值，幾乎沒有永久為 0 的神經元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用多組隨機輸入跑一次前向傳播，統計輸出為 0 的比例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已訓練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部分神經元形成穩定的「死亡」狀態，對所有輸入輸出恆為 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死亡比例通常 &gt; 5%，且在不同輸入下位置固定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8"/>
              <w:left w:val="single" w:color="7F6000" w:sz="24"/>
              <w:bottom w:val="single" w:color="CCCCCC" w:sz="4"/>
              <w:right w:val="single" w:color="CCCCCC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LLM 研究最新發現（ACL 2024）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2024 年發表於 ACL Findings 的研究（Neurons in Large Language Models: Dead, N-gram, ...）系統性分析了 LLM 中的神經元類型，發現「死亡」神經元、「n-gram 模式」神經元與「一般語義」神經元在訓練後呈現截然不同的分佈。死亡神經元的比例與位置是訓練程度的指標之一，但需注意：不同激活函數（GELU vs ReLU）的死亡模式不同，GELU 的死亡定義需要調整。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參考：https://aclanthology.org/2024.findings-acl.75.pdf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　方法⑤：頻譜分析（SVD / 經驗頻譜密度 ESD）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頻譜分析是目前學術界最精密的權重診斷方法。核心工具是對每個 weight 矩陣做奇異值分解（SVD），觀察奇異值的分佈，並與隨機矩陣理論（Random Matrix Theory, RMT）的預測進行比對。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診斷意義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Marchenko-Pastur 分佈（MP）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純隨機矩陣的奇異值分佈符合 MP 定律，有明確的上下界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若 ESD 完全符合 MP → 該層未訓練（純隨機）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Heavy Tail（重尾）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訓練後，部分奇異值「突破」MP 邊界，形成重尾分佈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重尾出現 → 該層已訓練，且突破越多代表訓練越充分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Dragon King（離群奇異值）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極少數遠超 MP 邊界的奇異值，與模型能力高度相關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存在 Dragon King → 模型在此層有強烈的學習信號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細粒度奇異值（Fine-tuning 痕跡）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研究顯示 fine-tuning 主要在小奇異值區域留下信號，移除後性能大跌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可用來分辨「預訓練」vs「SFT/fine-tune」的訓練痕跡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8"/>
              <w:left w:val="single" w:color="4B0082" w:sz="24"/>
              <w:bottom w:val="single" w:color="CCCCCC" w:sz="4"/>
              <w:right w:val="single" w:color="CCCCCC" w:sz="4"/>
            </w:tcBorders>
            <w:shd w:fill="EAD1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學術背景（arxiv 2024）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論文《Small Singular Values Matter: A Random Matrix Analysis of Transformer Models》（2024）指出：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隨機初始化時，weight 矩陣的 ESD 精確符合 RMT 預測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訓練後，偏離 RMT 的程度揭示了模型在各層的學習量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小奇異值在 fine-tuning 後包含重要的任務適應信號，不應被簡單截斷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參考：https://arxiv.org/html/2410.17770v2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頻譜分析基本範例（需要 torch + numpy）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torch, numpy as np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checkpoint = torch.load('model.pth', map_location='cpu')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sd = checkpoint.get('state_dict', checkpoint)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name, param in sd.items():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param.dim() == 2 and param.shape[0] &gt;= 64:  # 只看 weight matrix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 = param.float().numpy()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_, singular_values, _ = np.linalg.svd(W, full_matrices=False)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計算有效秩（effective rank）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sv_norm = singular_values / singular_values.sum()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entropy = -np.sum(sv_norm * np.log(sv_norm + 1e-10))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effective_rank = np.exp(entropy)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print(f'{name}: max_sv={singular_values[0]:.4f}, eff_rank={effective_rank:.1f}')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若 max_sv 遠超 sqrt(max(shape)) * std，代表有重尾（已訓練）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　方法⑥：WeightWatcher — 自動化品質評估工具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WeightWatcher 是由 CalculatedContent 開發的開源工具，以重尾自我正則化理論（Heavy-Tailed Self-Regularization, HT-SR）為基礎，提供不需要訓練資料、測試資料的模型品質評估。其核心指標已發表於《Nature Communications》（2021）。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60"/>
        <w:gridCol w:w="340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解讀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Alpha（α）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對每層 ESD 的重尾部分擬合冪律（Power Law），取冪次指數 α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≤ α ≤ 6 → 訓練良好；α &gt; 6 → 訓練不足或資料品質差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Alpha Hat（α̂）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加權平均 α，整體模型品質指標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越小越好（更多重尾 = 更好的泛化能力）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Stable Rank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||W||²_F / ||W||²_2，衡量矩陣的有效秩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訓練後通常比隨機初始化低（低秩結構形成）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Spectral Norm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最大奇異值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訓練後通常顯著大於初始化時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WeightWatcher 使用範例（pip install weightwatcher）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weightwatcher as ww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torch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torch.load('model.pth', map_location='cpu')  # 或載入完整模型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watcher = ww.WeightWatcher(model=model)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details = watcher.analyze()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summary = watcher.get_summary(details)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print(f'Alpha Hat: {summary["alpha_hat"]:.3f}')  # 2~6 為正常訓練範圍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print(f'Stable Rank: {summary["stable_rank"]:.2f}')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alpha_hat 明顯大於 6 → 該模型疑似未充分訓練或資料品質差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alpha_hat 在 2~4 → 訓練良好的信號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5C" w:sz="8"/>
              <w:left w:val="single" w:color="1F5C5C" w:sz="24"/>
              <w:bottom w:val="single" w:color="CCCCCC" w:sz="4"/>
              <w:right w:val="single" w:color="CCCCCC" w:sz="4"/>
            </w:tcBorders>
            <w:shd w:fill="D9EAD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5C"/>
                <w:sz w:val="20"/>
                <w:szCs w:val="20"/>
              </w:rPr>
              <w:t xml:space="preserve">WeightWatcher 的獨特價值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不需要訓練資料、測試資料，純粹分析模型自身的 weight 矩陣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已在 100+ 個 CV 模型與多個 LLM 上驗證，與測試精度高度相關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可用來比較同架構不同訓練程度的模型（例如 GPT 與 GPT-2 的差異）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開源工具：https://github.com/CalculatedContent/WeightWatcher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Nature Communications 論文：https://www.nature.com/articles/s41467-021-24025-8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　方法⑦a：LoRA / PEFT 專屬分析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LoRA（Low-Rank Adaptation）是目前最主流的高效微調方法。它不修改原始權重，而是在每個 weight 矩陣旁邊加入一對低秩矩陣 A 和 B，訓練時只更新 A 和 B。這讓 LoRA 的訓練驗證有其獨特方式。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LoRA 組件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初始化方式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訓練後狀態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 矩陣（down-projection）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Normal(0, σ)，與一般 weight 相同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訓練後偏離初始值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B 矩陣（up-projection）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zeros_()  ← 確保初始 ΔW = A×B = 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從 0 變為非零，信號等同 bias（500~1800 倍差距）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ΔW = A × B（合併後的 delta）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初始為全零矩陣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訓練後 ||ΔW||_F 明顯非零，可計算 stable rank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8"/>
              <w:left w:val="single" w:color="4B0082" w:sz="24"/>
              <w:bottom w:val="single" w:color="CCCCCC" w:sz="4"/>
              <w:right w:val="single" w:color="CCCCCC" w:sz="4"/>
            </w:tcBorders>
            <w:shd w:fill="EAD1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LoRA 頻譜分析最新研究（2024）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論文《Spectral Geometry of LoRA Adapters Encodes Training Objective and Predicts Harmful Compliance》研究 LoRA adapter 的頻譜幾何特徵，使用 Llama-3.2-3B 製作 38 個 LoRA adapter，發現：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使用穩定秩（stable rank）、奇異值熵（singular-value entropy）、有效秩等頻譜特徵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在 DPO 訓練方式下，邏輯回歸分類器的 AUC 達 1.00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可純靠 weight-space 頻譜特徵偵測訓練目標，甚至識別有害對齊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參考：https://arxiv.org/html/2604.08844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　方法⑦b：模型浮水印與溯源（Model Provenance）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在商業與法律場景中，「這個模型的所有者是誰？有沒有被竊取或未授權複製？」比「有沒有訓練過」更重要。模型浮水印與溯源技術是為此而生的。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技術類型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作法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優缺點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白箱浮水印（White-box）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在訓練時植入：用正則化或後門資料讓特定輸入觸發特定輸出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抗微調；✗ 修改訓練流程，有精度代價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黑箱浮水印（Black-box）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設計只有原始擁有者知道的特殊輸入，觀察輸出是否符合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不修改訓練；✗ 對量化/蒸餾/微調脆弱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Weight Fingerprinting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將 weight 參數轉成 hash code，驗證相似度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快速驗收；✗ 微調後 hash 會變，需容錯設計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Checkpoint Chain 溯源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把訓練過程中每個 epoch 的 checkpoint SHA256 記錄下來，形成可驗證鏈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最可靠的所有權證明；✗ 需事前建立記錄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8"/>
              <w:left w:val="single" w:color="538135" w:sz="24"/>
              <w:bottom w:val="single" w:color="CCCCCC" w:sz="4"/>
              <w:right w:val="single" w:color="CCCCCC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8135"/>
                <w:sz w:val="20"/>
                <w:szCs w:val="20"/>
              </w:rPr>
              <w:t xml:space="preserve">實務建議：Checkpoint Chain 是最簡單且最可靠的方案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對於自訓練模型，建議在每次訓練結束後記錄：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checkpoint 的 SHA256 雜湊值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訓練資料 manifest（哪些資料、哪個版本）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訓練指令（完整的 CLI 參數）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訓練時間戳記與 git commit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這四項資料形成不可偽造的訓練溯源鏈，可作為模型所有權的法律證據。BioNeuronAI 專案的 run_manifest.json 就是這個概念的實踐。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四、實際案例：BioNeuronAI 專案的多模型對比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以下以實際的加密貨幣 AI 交易系統（BioNeuronAI）為例，展示靜態診斷在真實專案中的完整應用。專案中同時存在 TinyLLM（GPT-like，~134M 參數）和 MetaLearnerModel（MLP，~18K 參數）兩個完全不同的架構。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　Bias Std 靜態診斷結果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1800"/>
        <w:gridCol w:w="17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 數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Std≈0 比例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平均 Bias Std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my_100m_model.pth（未訓練）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9"/>
                <w:szCs w:val="19"/>
              </w:rPr>
              <w:t xml:space="preserve">78/78（全部）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0.0000014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9"/>
                <w:szCs w:val="19"/>
              </w:rPr>
              <w:t xml:space="preserve">⚠️ 未訓練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best_model_run1.pth（GCP 訓練）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0/78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0.0010562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已訓練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best_model_run2.pth（GCP 訓練，現役）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0/78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0.0010766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已訓練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tiny_llm_en_zh（NLP 基礎版，未訓練）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9"/>
                <w:szCs w:val="19"/>
              </w:rPr>
              <w:t xml:space="preserve">74/74（全部）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0.0000000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9"/>
                <w:szCs w:val="19"/>
              </w:rPr>
              <w:t xml:space="preserve">⚠️ 未訓練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tiny_llm_en_zh_trained（知識蒸餾訓練版）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0/74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0.0007554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已訓練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每個判定都是獨立做出的，不依賴互相比對。未訓練 vs 已訓練的 bias std 差距達 500~1800 倍，信號遠超任何閾值誤差。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　相對方法：兩個 GCP 版本的深入比較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比較組合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相對 L2 距離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Cosine Similarity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原始 vs Run1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0.0601（全 159 tensor 改變）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~0.05（幾乎垂直）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明顯訓練，輸出方向完全不同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原始 vs Run2（現役）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0.0627（全 159 tensor 改變）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~0.05（幾乎垂直）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Run2 比 Run1 訓練略多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Run1 vs Run2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0.0158（149/159 tensor 改變）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~0.96（高度相似）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同一訓練脈絡的相鄰成果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五、邊緣情況與注意事項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Bias Std 方法在大多數情況下非常可靠，但以下邊緣情況需要特別注意：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邊緣情況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應對方式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Bias 被完全凍結（frozen）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部分 fine-tune 策略只更新 weight，bias 鎖定不訓練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改看 weight std 或用相對方法確認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非標準初始化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極少數程式碼把 bias 初始化為非零常數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先查程式碼確認初始化方式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量化模型（INT8/INT4）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量化改變數值分佈，bias 可能被折入 scale factor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需搭配 quant 格式說明，不能直接套用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訓練 1~2 batch 就停止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訓練量極少，bias std 可能只有 0.0001，接近邊界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降低閾值到 0.00005，配合相對方法確認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LoRA / Adapter-only 微調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原始 base weight 的 bias 不會更新；只有 Adapter 的 B 矩陣更新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改診斷 Adapter 的 B 矩陣 std，而非 base model 的 bias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激活函數為 GELU（非 ReLU）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死亡神經元的定義不同，GELU 不會有嚴格的「永久死亡」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死亡神經元分析需依激活函數調整定義，改用「接近 0 的比例」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六、商用場景的適用性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27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場景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能拿到權重？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適用方法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自訓練模型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全部方法皆可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驗證訓練流程、比較版本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開源模型（LLaMA / Mistral / Qwen）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全部方法皆可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確認 HuggingFace 上的版本是否真的訓練過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供應商交付的模型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Bias Std（快速驗收）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驗收前確認是否真的訓練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公司內部多版本管理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Bias Std + L2 距離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確認哪個版本是最新訓練版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商用 API 模型（GPT-4 / Claude 等）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9"/>
                <w:szCs w:val="19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皆不適用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只能用 benchmark 評測等黑盒方法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8"/>
              <w:left w:val="single" w:color="7F6000" w:sz="24"/>
              <w:bottom w:val="single" w:color="CCCCCC" w:sz="4"/>
              <w:right w:val="single" w:color="CCCCCC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重要限制：能證明「有訓練」，不代表能證明「訓練得好」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靜態診斷只能判斷「是否發生了訓練更新」，無法告訴你：訓練資料是否正確、訓練輪數是否足夠、模型在實際任務上的表現如何、訓練是否收斂。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驗收一份模型時，靜態診斷只是第一關；完整驗收還需要在代表性任務上做效能評估（loss、accuracy、backtesting 等），兩者缺一不可。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七、工具對照表與開源資源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以下整理各類診斷工具，供讀者依情境選用：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800"/>
        <w:gridCol w:w="21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 / 方法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需要 torch？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需要 baseline？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難度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連結 / 備註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手動 Bias Std（本文方法）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★☆☆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zipfile + struct，純 Python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torch.load + state_dict 比較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✓（選用）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PyTorch 官方，最通用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5C"/>
                <w:sz w:val="19"/>
                <w:szCs w:val="19"/>
              </w:rPr>
              <w:t xml:space="preserve">WeightWatcher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 install weightwatcher | Nature Comms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0082"/>
                <w:sz w:val="19"/>
                <w:szCs w:val="19"/>
              </w:rPr>
              <w:t xml:space="preserve">SVD / ESD 分析（自行實作）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numpy.linalg.svd，需要理解 RMT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Dead Neuron 分析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需要執行前向傳播，多組輸入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LoRA B 矩陣 Std 診斷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✗（可）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★☆☆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LoRA 專屬，同 Bias Std 原理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SHA256 Checkpoint 鏈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★☆☆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最可靠的溯源方法，需事前記錄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八、實務決策流程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3160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判斷結果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確認能否取得 .pth / .bin / .safetensors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無法取得 → 改用 benchmark 黑盒評估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檢查 checkpoint 格式與元資料（config / training_history）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zipfile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有訓練紀錄 → 直接有書面證據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執行 Bias Std 診斷（統計所有 micro tensor 的 std）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純 Python，不需 torch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全部 ≈ 0 → 未訓練；全部非零 → 已訓練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（進階）WeightWatcher Alpha 分析 or SVD 頻譜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weightwatcher / numpy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評估訓練品質，不只是有無訓練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（選用）若有原始版本：L2 距離、Cosine Similarity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torch 或 numpy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量化訓練量、比較版本優劣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在代表性任務上做效能評估（loss / accuracy / backtest）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完整推論環境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判斷訓練得好不好（不只是有沒有訓練）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九、與書稿其他章節的關聯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關聯章節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關聯點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延伸方向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第六章：模型訓練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本章是第六章的實務延伸：訓練改變了什麼、如何驗證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預訓練 vs SFT vs fine-tune 在 bias std 與 WeightWatcher Alpha 上的差異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第五章：KV Cache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training_state.pth（含 optimizer）vs 純推論 model.pth 的大小差異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部署時只需 model.pth，不需 optimizer state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第十一章：部署與可靠性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模型版本驗收流程中的靜態診斷階段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建立「promote 前必做清單」，靜態診斷與 WeightWatcher 列為標準步驟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第十二章：建議新增章節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原書建議補充 LoRA / QLoRA 相關內容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LoRA 的 B 矩陣也初始化為 0，診斷方式與 bias std 完全相同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十、參考資料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以下來源均在本章內容中有所引用或提及：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[R1] </w:t>
      </w:r>
      <w:r>
        <w:rPr>
          <w:rFonts w:ascii="Arial" w:cs="Arial" w:eastAsia="Arial" w:hAnsi="Arial"/>
          <w:sz w:val="19"/>
          <w:szCs w:val="19"/>
        </w:rPr>
        <w:t xml:space="preserve">Martin, C.H. &amp; Mahoney, M.W. (2021). Predicting trends in the quality of state-of-the-art neural networks without access to training or testing data. Nature Communications. </w:t>
      </w:r>
      <w:hyperlink w:history="1" r:id="rIdpyxbashb5o9u2f4vujzrl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https://www.nature.com/articles/s41467-021-24025-8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[R2] </w:t>
      </w:r>
      <w:r>
        <w:rPr>
          <w:rFonts w:ascii="Arial" w:cs="Arial" w:eastAsia="Arial" w:hAnsi="Arial"/>
          <w:sz w:val="19"/>
          <w:szCs w:val="19"/>
        </w:rPr>
        <w:t xml:space="preserve">WeightWatcher — Data-Free Diagnostics for Deep Learning. CalculatedContent (開源工具). </w:t>
      </w:r>
      <w:hyperlink w:history="1" r:id="rIdbnot_cjy-mxdiegppjbvx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https://github.com/CalculatedContent/WeightWatcher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[R3] </w:t>
      </w:r>
      <w:r>
        <w:rPr>
          <w:rFonts w:ascii="Arial" w:cs="Arial" w:eastAsia="Arial" w:hAnsi="Arial"/>
          <w:sz w:val="19"/>
          <w:szCs w:val="19"/>
        </w:rPr>
        <w:t xml:space="preserve">Guo, S. et al. (2024). Small Singular Values Matter: A Random Matrix Analysis of Transformer Models. arXiv:2410.17770. </w:t>
      </w:r>
      <w:hyperlink w:history="1" r:id="rIdsux-q8tbumkcmzlddqznp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https://arxiv.org/html/2410.17770v2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[R4] </w:t>
      </w:r>
      <w:r>
        <w:rPr>
          <w:rFonts w:ascii="Arial" w:cs="Arial" w:eastAsia="Arial" w:hAnsi="Arial"/>
          <w:sz w:val="19"/>
          <w:szCs w:val="19"/>
        </w:rPr>
        <w:t xml:space="preserve">Neurons in Large Language Models: Dead, N-gram, and Beyond. ACL Findings 2024. </w:t>
      </w:r>
      <w:hyperlink w:history="1" r:id="rIdk7flczdgu9vttnw0opnso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https://aclanthology.org/2024.findings-acl.75.pdf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[R5] </w:t>
      </w:r>
      <w:r>
        <w:rPr>
          <w:rFonts w:ascii="Arial" w:cs="Arial" w:eastAsia="Arial" w:hAnsi="Arial"/>
          <w:sz w:val="19"/>
          <w:szCs w:val="19"/>
        </w:rPr>
        <w:t xml:space="preserve">Spectral Geometry of LoRA Adapters Encodes Training Objective and Predicts Harmful Compliance. arXiv:2604.08844 (2024). </w:t>
      </w:r>
      <w:hyperlink w:history="1" r:id="rIdh9isekqs-7nfuu1qtjzka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https://arxiv.org/html/2604.08844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[R6] </w:t>
      </w:r>
      <w:r>
        <w:rPr>
          <w:rFonts w:ascii="Arial" w:cs="Arial" w:eastAsia="Arial" w:hAnsi="Arial"/>
          <w:sz w:val="19"/>
          <w:szCs w:val="19"/>
        </w:rPr>
        <w:t xml:space="preserve">A Systematization of Watermarking, Fingerprinting, Model Ownership Verification. arXiv:2304.11285. </w:t>
      </w:r>
      <w:hyperlink w:history="1" r:id="rId8un6oioia-qmvpf0bujbc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https://arxiv.org/pdf/2304.11285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[R7] </w:t>
      </w:r>
      <w:r>
        <w:rPr>
          <w:rFonts w:ascii="Arial" w:cs="Arial" w:eastAsia="Arial" w:hAnsi="Arial"/>
          <w:sz w:val="19"/>
          <w:szCs w:val="19"/>
        </w:rPr>
        <w:t xml:space="preserve">Hu, E.J. et al. (2021). LoRA: Low-Rank Adaptation of Large Language Models. arXiv:2106.09685. </w:t>
      </w:r>
      <w:hyperlink w:history="1" r:id="rIdjxvzmeycj9dacnszbdfg2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https://arxiv.org/abs/2106.09685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[R8] </w:t>
      </w:r>
      <w:r>
        <w:rPr>
          <w:rFonts w:ascii="Arial" w:cs="Arial" w:eastAsia="Arial" w:hAnsi="Arial"/>
          <w:sz w:val="19"/>
          <w:szCs w:val="19"/>
        </w:rPr>
        <w:t xml:space="preserve">Temperature Balancing, Layer-wise Weight Analysis, and Neural Network Training. NeurIPS 2023. </w:t>
      </w:r>
      <w:hyperlink w:history="1" r:id="rIdckxfs3pjivhcdz7d0x5wu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https://arxiv.org/abs/2312.00359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[R9] </w:t>
      </w:r>
      <w:r>
        <w:rPr>
          <w:rFonts w:ascii="Arial" w:cs="Arial" w:eastAsia="Arial" w:hAnsi="Arial"/>
          <w:sz w:val="19"/>
          <w:szCs w:val="19"/>
        </w:rPr>
        <w:t xml:space="preserve">Approaching Deep Learning through the Spectral Dynamics of Weights. arXiv:2408.11804 (2024). </w:t>
      </w:r>
      <w:hyperlink w:history="1" r:id="rIdpl9lgdnmbdbq01imgioae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https://arxiv.org/pdf/2408.11804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[R10] </w:t>
      </w:r>
      <w:r>
        <w:rPr>
          <w:rFonts w:ascii="Arial" w:cs="Arial" w:eastAsia="Arial" w:hAnsi="Arial"/>
          <w:sz w:val="19"/>
          <w:szCs w:val="19"/>
        </w:rPr>
        <w:t xml:space="preserve">PyTorch 官方文件：Inspecting Model Architectures and Weights. </w:t>
      </w:r>
      <w:hyperlink w:history="1" r:id="rIdvmztx8tlbok4k5-4jsmjn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https://docs.pytorch.org</w:t>
        </w:r>
      </w:hyperlink>
    </w:p>
    <w:p>
      <w:pPr>
        <w:spacing w:after="200"/>
      </w:pPr>
    </w:p>
    <w:p>
      <w:pPr>
        <w:pBdr>
          <w:top w:val="single" w:color="BDD7EE" w:sz="4" w:space="8"/>
        </w:pBdr>
        <w:spacing w:after="60" w:before="1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本補充章節由 BioNeuronAI 專案實際分析結果整合學術研究整理而成，靜態診斷數值均來自對真實 .pth 檔案的實際讀取，未使用 GPU 或深度學習框架執行。</w:t>
      </w:r>
    </w:p>
    <w:p>
      <w:pPr>
        <w:spacing w:after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整合建議：可依書稿風格調整用語，程式碼區塊可附於附錄，WeightWatcher / SVD 章節可視讀者程度決定深度。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spacing w:before="8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第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4"/>
      </w:pBdr>
      <w:spacing w:after="80"/>
    </w:pPr>
    <w:r>
      <w:rPr>
        <w:rFonts w:ascii="Arial" w:cs="Arial" w:eastAsia="Arial" w:hAnsi="Arial"/>
        <w:color w:val="595959"/>
        <w:sz w:val="18"/>
        <w:szCs w:val="18"/>
      </w:rPr>
      <w:t xml:space="preserve">模型權重的本質與訓練狀態識別</w:t>
    </w:r>
    <w:r>
      <w:rPr>
        <w:rFonts w:ascii="Arial" w:cs="Arial" w:eastAsia="Arial" w:hAnsi="Arial"/>
        <w:color w:val="BDD7EE"/>
        <w:sz w:val="18"/>
        <w:szCs w:val="18"/>
      </w:rPr>
      <w:t xml:space="preserve">　｜　補充實務章節（增強版）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yxbashb5o9u2f4vujzrl" Type="http://schemas.openxmlformats.org/officeDocument/2006/relationships/hyperlink" Target="https://www.nature.com/articles/s41467-021-24025-8" TargetMode="External"/><Relationship Id="rIdbnot_cjy-mxdiegppjbvx" Type="http://schemas.openxmlformats.org/officeDocument/2006/relationships/hyperlink" Target="https://github.com/CalculatedContent/WeightWatcher" TargetMode="External"/><Relationship Id="rIdsux-q8tbumkcmzlddqznp" Type="http://schemas.openxmlformats.org/officeDocument/2006/relationships/hyperlink" Target="https://arxiv.org/html/2410.17770v2" TargetMode="External"/><Relationship Id="rIdk7flczdgu9vttnw0opnso" Type="http://schemas.openxmlformats.org/officeDocument/2006/relationships/hyperlink" Target="https://aclanthology.org/2024.findings-acl.75.pdf" TargetMode="External"/><Relationship Id="rIdh9isekqs-7nfuu1qtjzka" Type="http://schemas.openxmlformats.org/officeDocument/2006/relationships/hyperlink" Target="https://arxiv.org/html/2604.08844" TargetMode="External"/><Relationship Id="rId8un6oioia-qmvpf0bujbc" Type="http://schemas.openxmlformats.org/officeDocument/2006/relationships/hyperlink" Target="https://arxiv.org/pdf/2304.11285" TargetMode="External"/><Relationship Id="rIdjxvzmeycj9dacnszbdfg2" Type="http://schemas.openxmlformats.org/officeDocument/2006/relationships/hyperlink" Target="https://arxiv.org/abs/2106.09685" TargetMode="External"/><Relationship Id="rIdckxfs3pjivhcdz7d0x5wu" Type="http://schemas.openxmlformats.org/officeDocument/2006/relationships/hyperlink" Target="https://arxiv.org/abs/2312.00359" TargetMode="External"/><Relationship Id="rIdpl9lgdnmbdbq01imgioae" Type="http://schemas.openxmlformats.org/officeDocument/2006/relationships/hyperlink" Target="https://arxiv.org/pdf/2408.11804" TargetMode="External"/><Relationship Id="rIdvmztx8tlbok4k5-4jsmjn" Type="http://schemas.openxmlformats.org/officeDocument/2006/relationships/hyperlink" Target="https://docs.pytorch.org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2026-05-12T11:11:50.200Z</dcterms:created>
  <dcterms:modified xsi:type="dcterms:W3CDTF">2026-05-12T11:11:50.201Z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