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766E"/>
          <w:sz w:val="56"/>
          <w:szCs w:val="56"/>
        </w:rPr>
        <w:t xml:space="preserve">ReceptIO</w:t>
      </w:r>
    </w:p>
    <w:p>
      <w:pPr>
        <w:spacing w:after="40"/>
      </w:pPr>
      <w:r>
        <w:rPr>
          <w:color w:val="444444"/>
          <w:sz w:val="32"/>
          <w:szCs w:val="32"/>
        </w:rPr>
        <w:t xml:space="preserve">Design Handoff — Marketing Website</w:t>
      </w:r>
    </w:p>
    <w:p>
      <w:pPr>
        <w:spacing w:after="40"/>
      </w:pPr>
      <w:r>
        <w:rPr>
          <w:i/>
          <w:iCs/>
          <w:color w:val="666666"/>
          <w:sz w:val="22"/>
          <w:szCs w:val="22"/>
        </w:rPr>
        <w:t xml:space="preserve">Home · Pricing · Install</w:t>
      </w:r>
    </w:p>
    <w:p>
      <w:pPr>
        <w:spacing w:after="400"/>
      </w:pPr>
      <w:r>
        <w:rPr>
          <w:color w:val="888888"/>
          <w:sz w:val="20"/>
          <w:szCs w:val="20"/>
        </w:rPr>
        <w:t xml:space="preserve">September 2026</w:t>
      </w:r>
    </w:p>
    <w:p>
      <w:pPr>
        <w:pStyle w:val="Heading1"/>
        <w:spacing w:after="160" w:before="320"/>
      </w:pPr>
      <w:r>
        <w:t xml:space="preserve">1. Overview</w:t>
      </w:r>
    </w:p>
    <w:p>
      <w:pPr>
        <w:spacing w:after="160"/>
      </w:pPr>
      <w:r>
        <w:t xml:space="preserve">ReceptIO is an embeddable AI help-desk widget for small, independent service businesses (dental practices, salons, repair shops, and similar). A business adds one line of script to its own website, and the widget answers visitor questions strictly from that business's own help content — it never invents an answer. When it doesn't know something, it says so plainly and either files a support ticket with a reference number or offers a weekday 30-minute call slot that a human confirms.</w:t>
      </w:r>
    </w:p>
    <w:p>
      <w:pPr>
        <w:spacing w:after="160"/>
      </w:pPr>
      <w:r>
        <w:t xml:space="preserve">This document hands off the three-page marketing site (Home, Pricing, Install) delivered alongside it as standalone HTML files. It covers the visual design system, page-by-page structure and copy decisions, interactive behavior, accessibility notes, and a manifest of everything in the package.</w:t>
      </w:r>
    </w:p>
    <w:p>
      <w:pPr>
        <w:spacing w:after="160"/>
      </w:pPr>
      <w:r>
        <w:t xml:space="preserve">Visual direction: the site's component patterns (floating rounded navigation bar, centered hero with eyebrow/headline/subhead, borderless icon-ring feature cards, scaled "popular" pricing card, bordered footer card) are modeled on a shadcn/ui + Next.js + Tailwind CSS landing-page template supplied as a reference, adapted to a bold dark theme with the client's own copy, pricing, and product behavior.</w:t>
      </w:r>
    </w:p>
    <w:p>
      <w:pPr>
        <w:spacing w:after="160"/>
      </w:pPr>
      <w:r>
        <w:t xml:space="preserve">Content rules honored throughout: no testimonials or quotes (including placeholders), no invented statistics, no fake urgency language, "ReceptIO" used as the only product name, and no stock photography or generic "AI is the future" framing. The one external figure referenced (Intercom Fin's $0.99-per-resolution pricing on the Pricing page) is a real, publicly stated comparison point, not an invented statistic.</w:t>
      </w:r>
    </w:p>
    <w:p>
      <w:pPr>
        <w:pStyle w:val="Heading1"/>
        <w:spacing w:after="160" w:before="320"/>
      </w:pPr>
      <w:r>
        <w:t xml:space="preserve">2. Design system</w:t>
      </w:r>
    </w:p>
    <w:p>
      <w:pPr>
        <w:pStyle w:val="Heading2"/>
        <w:spacing w:after="120" w:before="260"/>
      </w:pPr>
      <w:r>
        <w:t xml:space="preserve">2.1 Color palette</w:t>
      </w:r>
    </w:p>
    <w:p>
      <w:pPr>
        <w:spacing w:after="160"/>
      </w:pPr>
      <w:r>
        <w:t xml:space="preserve">Dark theme built from a near-black base with a single bold accent. All pairings below were checked against WCAG contrast minimums (4.5:1 for normal text, 3:1 for large/bold text).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00"/>
      </w:tblGrid>
      <w:tr>
        <w:trPr>
          <w:tblHeader/>
        </w:trPr>
        <w:tc>
          <w:tcPr>
            <w:tcW w:type="dxa" w:w="2000"/>
            <w:shd w:fill="132A25" w:val="clear"/>
            <w:tcMar>
              <w:top w:type="dxa" w:w="80"/>
              <w:left w:type="dxa" w:w="100"/>
              <w:bottom w:type="dxa" w:w="80"/>
              <w:right w:type="dxa" w:w="100"/>
            </w:tcMar>
          </w:tcPr>
          <w:p>
            <w:r>
              <w:rPr>
                <w:b/>
                <w:bCs/>
                <w:color w:val="FFFFFF"/>
              </w:rPr>
              <w:t xml:space="preserve">Token</w:t>
            </w:r>
          </w:p>
        </w:tc>
        <w:tc>
          <w:tcPr>
            <w:tcW w:type="dxa" w:w="1400"/>
            <w:shd w:fill="132A25" w:val="clear"/>
            <w:tcMar>
              <w:top w:type="dxa" w:w="80"/>
              <w:left w:type="dxa" w:w="100"/>
              <w:bottom w:type="dxa" w:w="80"/>
              <w:right w:type="dxa" w:w="100"/>
            </w:tcMar>
          </w:tcPr>
          <w:p>
            <w:r>
              <w:rPr>
                <w:b/>
                <w:bCs/>
                <w:color w:val="FFFFFF"/>
              </w:rPr>
              <w:t xml:space="preserve">Swatch / Hex</w:t>
            </w:r>
          </w:p>
        </w:tc>
        <w:tc>
          <w:tcPr>
            <w:tcW w:type="dxa" w:w="5900"/>
            <w:shd w:fill="132A25" w:val="clear"/>
            <w:tcMar>
              <w:top w:type="dxa" w:w="80"/>
              <w:left w:type="dxa" w:w="100"/>
              <w:bottom w:type="dxa" w:w="80"/>
              <w:right w:type="dxa" w:w="100"/>
            </w:tcMar>
          </w:tcPr>
          <w:p>
            <w:r>
              <w:rPr>
                <w:b/>
                <w:bCs/>
                <w:color w:val="FFFFFF"/>
              </w:rPr>
              <w:t xml:space="preserve">Usage</w:t>
            </w:r>
          </w:p>
        </w:tc>
      </w:tr>
      <w:tr>
        <w:tc>
          <w:tcPr>
            <w:tcW w:type="dxa" w:w="2000"/>
            <w:tcMar>
              <w:top w:type="dxa" w:w="80"/>
              <w:left w:type="dxa" w:w="100"/>
              <w:bottom w:type="dxa" w:w="80"/>
              <w:right w:type="dxa" w:w="100"/>
            </w:tcMar>
          </w:tcPr>
          <w:p>
            <w:r>
              <w:t xml:space="preserve">Page background</w:t>
            </w:r>
          </w:p>
        </w:tc>
        <w:tc>
          <w:tcPr>
            <w:tcW w:type="dxa" w:w="1400"/>
            <w:shd w:fill="0a1615" w:val="clear"/>
            <w:tcMar>
              <w:top w:type="dxa" w:w="80"/>
              <w:left w:type="dxa" w:w="100"/>
              <w:bottom w:type="dxa" w:w="80"/>
              <w:right w:type="dxa" w:w="100"/>
            </w:tcMar>
          </w:tcPr>
          <w:p>
            <w:r>
              <w:rPr>
                <w:b/>
                <w:bCs/>
                <w:color w:val="FFFFFF"/>
              </w:rPr>
              <w:t xml:space="preserve">#0a1615</w:t>
            </w:r>
          </w:p>
        </w:tc>
        <w:tc>
          <w:tcPr>
            <w:tcW w:type="dxa" w:w="5900"/>
            <w:tcMar>
              <w:top w:type="dxa" w:w="80"/>
              <w:left w:type="dxa" w:w="100"/>
              <w:bottom w:type="dxa" w:w="80"/>
              <w:right w:type="dxa" w:w="100"/>
            </w:tcMar>
          </w:tcPr>
          <w:p>
            <w:r>
              <w:t xml:space="preserve">Outermost page background, feature-section background</w:t>
            </w:r>
          </w:p>
        </w:tc>
      </w:tr>
      <w:tr>
        <w:tc>
          <w:tcPr>
            <w:tcW w:type="dxa" w:w="2000"/>
            <w:tcMar>
              <w:top w:type="dxa" w:w="80"/>
              <w:left w:type="dxa" w:w="100"/>
              <w:bottom w:type="dxa" w:w="80"/>
              <w:right w:type="dxa" w:w="100"/>
            </w:tcMar>
          </w:tcPr>
          <w:p>
            <w:r>
              <w:t xml:space="preserve">Surface / footer</w:t>
            </w:r>
          </w:p>
        </w:tc>
        <w:tc>
          <w:tcPr>
            <w:tcW w:type="dxa" w:w="1400"/>
            <w:shd w:fill="132a25" w:val="clear"/>
            <w:tcMar>
              <w:top w:type="dxa" w:w="80"/>
              <w:left w:type="dxa" w:w="100"/>
              <w:bottom w:type="dxa" w:w="80"/>
              <w:right w:type="dxa" w:w="100"/>
            </w:tcMar>
          </w:tcPr>
          <w:p>
            <w:r>
              <w:rPr>
                <w:b/>
                <w:bCs/>
                <w:color w:val="FFFFFF"/>
              </w:rPr>
              <w:t xml:space="preserve">#132a25</w:t>
            </w:r>
          </w:p>
        </w:tc>
        <w:tc>
          <w:tcPr>
            <w:tcW w:type="dxa" w:w="5900"/>
            <w:tcMar>
              <w:top w:type="dxa" w:w="80"/>
              <w:left w:type="dxa" w:w="100"/>
              <w:bottom w:type="dxa" w:w="80"/>
              <w:right w:type="dxa" w:w="100"/>
            </w:tcMar>
          </w:tcPr>
          <w:p>
            <w:r>
              <w:t xml:space="preserve">Nav bar fill, footer card fill</w:t>
            </w:r>
          </w:p>
        </w:tc>
      </w:tr>
      <w:tr>
        <w:tc>
          <w:tcPr>
            <w:tcW w:type="dxa" w:w="2000"/>
            <w:tcMar>
              <w:top w:type="dxa" w:w="80"/>
              <w:left w:type="dxa" w:w="100"/>
              <w:bottom w:type="dxa" w:w="80"/>
              <w:right w:type="dxa" w:w="100"/>
            </w:tcMar>
          </w:tcPr>
          <w:p>
            <w:r>
              <w:t xml:space="preserve">Surface / hero band</w:t>
            </w:r>
          </w:p>
        </w:tc>
        <w:tc>
          <w:tcPr>
            <w:tcW w:type="dxa" w:w="1400"/>
            <w:shd w:fill="0f211d" w:val="clear"/>
            <w:tcMar>
              <w:top w:type="dxa" w:w="80"/>
              <w:left w:type="dxa" w:w="100"/>
              <w:bottom w:type="dxa" w:w="80"/>
              <w:right w:type="dxa" w:w="100"/>
            </w:tcMar>
          </w:tcPr>
          <w:p>
            <w:r>
              <w:rPr>
                <w:b/>
                <w:bCs/>
                <w:color w:val="FFFFFF"/>
              </w:rPr>
              <w:t xml:space="preserve">#0f211d</w:t>
            </w:r>
          </w:p>
        </w:tc>
        <w:tc>
          <w:tcPr>
            <w:tcW w:type="dxa" w:w="5900"/>
            <w:tcMar>
              <w:top w:type="dxa" w:w="80"/>
              <w:left w:type="dxa" w:w="100"/>
              <w:bottom w:type="dxa" w:w="80"/>
              <w:right w:type="dxa" w:w="100"/>
            </w:tcMar>
          </w:tcPr>
          <w:p>
            <w:r>
              <w:t xml:space="preserve">Alternating section background (refuse-to-guess, browser chrome bar)</w:t>
            </w:r>
          </w:p>
        </w:tc>
      </w:tr>
      <w:tr>
        <w:tc>
          <w:tcPr>
            <w:tcW w:type="dxa" w:w="2000"/>
            <w:tcMar>
              <w:top w:type="dxa" w:w="80"/>
              <w:left w:type="dxa" w:w="100"/>
              <w:bottom w:type="dxa" w:w="80"/>
              <w:right w:type="dxa" w:w="100"/>
            </w:tcMar>
          </w:tcPr>
          <w:p>
            <w:r>
              <w:t xml:space="preserve">Card fill</w:t>
            </w:r>
          </w:p>
        </w:tc>
        <w:tc>
          <w:tcPr>
            <w:tcW w:type="dxa" w:w="1400"/>
            <w:shd w:fill="12241f" w:val="clear"/>
            <w:tcMar>
              <w:top w:type="dxa" w:w="80"/>
              <w:left w:type="dxa" w:w="100"/>
              <w:bottom w:type="dxa" w:w="80"/>
              <w:right w:type="dxa" w:w="100"/>
            </w:tcMar>
          </w:tcPr>
          <w:p>
            <w:r>
              <w:rPr>
                <w:b/>
                <w:bCs/>
                <w:color w:val="FFFFFF"/>
              </w:rPr>
              <w:t xml:space="preserve">#12241f</w:t>
            </w:r>
          </w:p>
        </w:tc>
        <w:tc>
          <w:tcPr>
            <w:tcW w:type="dxa" w:w="5900"/>
            <w:tcMar>
              <w:top w:type="dxa" w:w="80"/>
              <w:left w:type="dxa" w:w="100"/>
              <w:bottom w:type="dxa" w:w="80"/>
              <w:right w:type="dxa" w:w="100"/>
            </w:tcMar>
          </w:tcPr>
          <w:p>
            <w:r>
              <w:t xml:space="preserve">Cards, demo-panel body, code block background</w:t>
            </w:r>
          </w:p>
        </w:tc>
      </w:tr>
      <w:tr>
        <w:tc>
          <w:tcPr>
            <w:tcW w:type="dxa" w:w="2000"/>
            <w:tcMar>
              <w:top w:type="dxa" w:w="80"/>
              <w:left w:type="dxa" w:w="100"/>
              <w:bottom w:type="dxa" w:w="80"/>
              <w:right w:type="dxa" w:w="100"/>
            </w:tcMar>
          </w:tcPr>
          <w:p>
            <w:r>
              <w:t xml:space="preserve">Card fill / raised</w:t>
            </w:r>
          </w:p>
        </w:tc>
        <w:tc>
          <w:tcPr>
            <w:tcW w:type="dxa" w:w="1400"/>
            <w:shd w:fill="1a332d" w:val="clear"/>
            <w:tcMar>
              <w:top w:type="dxa" w:w="80"/>
              <w:left w:type="dxa" w:w="100"/>
              <w:bottom w:type="dxa" w:w="80"/>
              <w:right w:type="dxa" w:w="100"/>
            </w:tcMar>
          </w:tcPr>
          <w:p>
            <w:r>
              <w:rPr>
                <w:b/>
                <w:bCs/>
                <w:color w:val="FFFFFF"/>
              </w:rPr>
              <w:t xml:space="preserve">#1a332d</w:t>
            </w:r>
          </w:p>
        </w:tc>
        <w:tc>
          <w:tcPr>
            <w:tcW w:type="dxa" w:w="5900"/>
            <w:tcMar>
              <w:top w:type="dxa" w:w="80"/>
              <w:left w:type="dxa" w:w="100"/>
              <w:bottom w:type="dxa" w:w="80"/>
              <w:right w:type="dxa" w:w="100"/>
            </w:tcMar>
          </w:tcPr>
          <w:p>
            <w:r>
              <w:t xml:space="preserve">Chat bubbles, placeholder blocks, unselected chips, active nav item</w:t>
            </w:r>
          </w:p>
        </w:tc>
      </w:tr>
      <w:tr>
        <w:tc>
          <w:tcPr>
            <w:tcW w:type="dxa" w:w="2000"/>
            <w:tcMar>
              <w:top w:type="dxa" w:w="80"/>
              <w:left w:type="dxa" w:w="100"/>
              <w:bottom w:type="dxa" w:w="80"/>
              <w:right w:type="dxa" w:w="100"/>
            </w:tcMar>
          </w:tcPr>
          <w:p>
            <w:r>
              <w:t xml:space="preserve">Border</w:t>
            </w:r>
          </w:p>
        </w:tc>
        <w:tc>
          <w:tcPr>
            <w:tcW w:type="dxa" w:w="1400"/>
            <w:shd w:fill="1f3d37" w:val="clear"/>
            <w:tcMar>
              <w:top w:type="dxa" w:w="80"/>
              <w:left w:type="dxa" w:w="100"/>
              <w:bottom w:type="dxa" w:w="80"/>
              <w:right w:type="dxa" w:w="100"/>
            </w:tcMar>
          </w:tcPr>
          <w:p>
            <w:r>
              <w:rPr>
                <w:b/>
                <w:bCs/>
                <w:color w:val="FFFFFF"/>
              </w:rPr>
              <w:t xml:space="preserve">#1f3d37</w:t>
            </w:r>
          </w:p>
        </w:tc>
        <w:tc>
          <w:tcPr>
            <w:tcW w:type="dxa" w:w="5900"/>
            <w:tcMar>
              <w:top w:type="dxa" w:w="80"/>
              <w:left w:type="dxa" w:w="100"/>
              <w:bottom w:type="dxa" w:w="80"/>
              <w:right w:type="dxa" w:w="100"/>
            </w:tcMar>
          </w:tcPr>
          <w:p>
            <w:r>
              <w:t xml:space="preserve">Card borders, dividers, nav border</w:t>
            </w:r>
          </w:p>
        </w:tc>
      </w:tr>
      <w:tr>
        <w:tc>
          <w:tcPr>
            <w:tcW w:type="dxa" w:w="2000"/>
            <w:tcMar>
              <w:top w:type="dxa" w:w="80"/>
              <w:left w:type="dxa" w:w="100"/>
              <w:bottom w:type="dxa" w:w="80"/>
              <w:right w:type="dxa" w:w="100"/>
            </w:tcMar>
          </w:tcPr>
          <w:p>
            <w:r>
              <w:t xml:space="preserve">Border / muted</w:t>
            </w:r>
          </w:p>
        </w:tc>
        <w:tc>
          <w:tcPr>
            <w:tcW w:type="dxa" w:w="1400"/>
            <w:shd w:fill="33544d" w:val="clear"/>
            <w:tcMar>
              <w:top w:type="dxa" w:w="80"/>
              <w:left w:type="dxa" w:w="100"/>
              <w:bottom w:type="dxa" w:w="80"/>
              <w:right w:type="dxa" w:w="100"/>
            </w:tcMar>
          </w:tcPr>
          <w:p>
            <w:r>
              <w:rPr>
                <w:b/>
                <w:bCs/>
                <w:color w:val="FFFFFF"/>
              </w:rPr>
              <w:t xml:space="preserve">#33544d</w:t>
            </w:r>
          </w:p>
        </w:tc>
        <w:tc>
          <w:tcPr>
            <w:tcW w:type="dxa" w:w="5900"/>
            <w:tcMar>
              <w:top w:type="dxa" w:w="80"/>
              <w:left w:type="dxa" w:w="100"/>
              <w:bottom w:type="dxa" w:w="80"/>
              <w:right w:type="dxa" w:w="100"/>
            </w:tcMar>
          </w:tcPr>
          <w:p>
            <w:r>
              <w:t xml:space="preserve">Secondary-button border, badge border</w:t>
            </w:r>
          </w:p>
        </w:tc>
      </w:tr>
      <w:tr>
        <w:tc>
          <w:tcPr>
            <w:tcW w:type="dxa" w:w="2000"/>
            <w:tcMar>
              <w:top w:type="dxa" w:w="80"/>
              <w:left w:type="dxa" w:w="100"/>
              <w:bottom w:type="dxa" w:w="80"/>
              <w:right w:type="dxa" w:w="100"/>
            </w:tcMar>
          </w:tcPr>
          <w:p>
            <w:r>
              <w:t xml:space="preserve">Text — primary</w:t>
            </w:r>
          </w:p>
        </w:tc>
        <w:tc>
          <w:tcPr>
            <w:tcW w:type="dxa" w:w="1400"/>
            <w:shd w:fill="f2fdfb" w:val="clear"/>
            <w:tcMar>
              <w:top w:type="dxa" w:w="80"/>
              <w:left w:type="dxa" w:w="100"/>
              <w:bottom w:type="dxa" w:w="80"/>
              <w:right w:type="dxa" w:w="100"/>
            </w:tcMar>
          </w:tcPr>
          <w:p>
            <w:r>
              <w:rPr>
                <w:b/>
                <w:bCs/>
                <w:color w:val="06211D"/>
              </w:rPr>
              <w:t xml:space="preserve">#f2fdfb</w:t>
            </w:r>
          </w:p>
        </w:tc>
        <w:tc>
          <w:tcPr>
            <w:tcW w:type="dxa" w:w="5900"/>
            <w:tcMar>
              <w:top w:type="dxa" w:w="80"/>
              <w:left w:type="dxa" w:w="100"/>
              <w:bottom w:type="dxa" w:w="80"/>
              <w:right w:type="dxa" w:w="100"/>
            </w:tcMar>
          </w:tcPr>
          <w:p>
            <w:r>
              <w:t xml:space="preserve">Headings, primary body copy on dark backgrounds</w:t>
            </w:r>
          </w:p>
        </w:tc>
      </w:tr>
      <w:tr>
        <w:tc>
          <w:tcPr>
            <w:tcW w:type="dxa" w:w="2000"/>
            <w:tcMar>
              <w:top w:type="dxa" w:w="80"/>
              <w:left w:type="dxa" w:w="100"/>
              <w:bottom w:type="dxa" w:w="80"/>
              <w:right w:type="dxa" w:w="100"/>
            </w:tcMar>
          </w:tcPr>
          <w:p>
            <w:r>
              <w:t xml:space="preserve">Text — secondary</w:t>
            </w:r>
          </w:p>
        </w:tc>
        <w:tc>
          <w:tcPr>
            <w:tcW w:type="dxa" w:w="1400"/>
            <w:shd w:fill="a9c4be" w:val="clear"/>
            <w:tcMar>
              <w:top w:type="dxa" w:w="80"/>
              <w:left w:type="dxa" w:w="100"/>
              <w:bottom w:type="dxa" w:w="80"/>
              <w:right w:type="dxa" w:w="100"/>
            </w:tcMar>
          </w:tcPr>
          <w:p>
            <w:r>
              <w:rPr>
                <w:b/>
                <w:bCs/>
                <w:color w:val="06211D"/>
              </w:rPr>
              <w:t xml:space="preserve">#a9c4be</w:t>
            </w:r>
          </w:p>
        </w:tc>
        <w:tc>
          <w:tcPr>
            <w:tcW w:type="dxa" w:w="5900"/>
            <w:tcMar>
              <w:top w:type="dxa" w:w="80"/>
              <w:left w:type="dxa" w:w="100"/>
              <w:bottom w:type="dxa" w:w="80"/>
              <w:right w:type="dxa" w:w="100"/>
            </w:tcMar>
          </w:tcPr>
          <w:p>
            <w:r>
              <w:t xml:space="preserve">Supporting copy, subheads, nav links</w:t>
            </w:r>
          </w:p>
        </w:tc>
      </w:tr>
      <w:tr>
        <w:tc>
          <w:tcPr>
            <w:tcW w:type="dxa" w:w="2000"/>
            <w:tcMar>
              <w:top w:type="dxa" w:w="80"/>
              <w:left w:type="dxa" w:w="100"/>
              <w:bottom w:type="dxa" w:w="80"/>
              <w:right w:type="dxa" w:w="100"/>
            </w:tcMar>
          </w:tcPr>
          <w:p>
            <w:r>
              <w:t xml:space="preserve">Text — tertiary</w:t>
            </w:r>
          </w:p>
        </w:tc>
        <w:tc>
          <w:tcPr>
            <w:tcW w:type="dxa" w:w="1400"/>
            <w:shd w:fill="74928c" w:val="clear"/>
            <w:tcMar>
              <w:top w:type="dxa" w:w="80"/>
              <w:left w:type="dxa" w:w="100"/>
              <w:bottom w:type="dxa" w:w="80"/>
              <w:right w:type="dxa" w:w="100"/>
            </w:tcMar>
          </w:tcPr>
          <w:p>
            <w:r>
              <w:rPr>
                <w:b/>
                <w:bCs/>
                <w:color w:val="06211D"/>
              </w:rPr>
              <w:t xml:space="preserve">#74928c</w:t>
            </w:r>
          </w:p>
        </w:tc>
        <w:tc>
          <w:tcPr>
            <w:tcW w:type="dxa" w:w="5900"/>
            <w:tcMar>
              <w:top w:type="dxa" w:w="80"/>
              <w:left w:type="dxa" w:w="100"/>
              <w:bottom w:type="dxa" w:w="80"/>
              <w:right w:type="dxa" w:w="100"/>
            </w:tcMar>
          </w:tcPr>
          <w:p>
            <w:r>
              <w:t xml:space="preserve">Timestamps, browser-chrome URL text, copyright line</w:t>
            </w:r>
          </w:p>
        </w:tc>
      </w:tr>
      <w:tr>
        <w:tc>
          <w:tcPr>
            <w:tcW w:type="dxa" w:w="2000"/>
            <w:tcMar>
              <w:top w:type="dxa" w:w="80"/>
              <w:left w:type="dxa" w:w="100"/>
              <w:bottom w:type="dxa" w:w="80"/>
              <w:right w:type="dxa" w:w="100"/>
            </w:tcMar>
          </w:tcPr>
          <w:p>
            <w:r>
              <w:t xml:space="preserve">Text — on raised fill</w:t>
            </w:r>
          </w:p>
        </w:tc>
        <w:tc>
          <w:tcPr>
            <w:tcW w:type="dxa" w:w="1400"/>
            <w:shd w:fill="d7ece7" w:val="clear"/>
            <w:tcMar>
              <w:top w:type="dxa" w:w="80"/>
              <w:left w:type="dxa" w:w="100"/>
              <w:bottom w:type="dxa" w:w="80"/>
              <w:right w:type="dxa" w:w="100"/>
            </w:tcMar>
          </w:tcPr>
          <w:p>
            <w:r>
              <w:rPr>
                <w:b/>
                <w:bCs/>
                <w:color w:val="06211D"/>
              </w:rPr>
              <w:t xml:space="preserve">#d7ece7</w:t>
            </w:r>
          </w:p>
        </w:tc>
        <w:tc>
          <w:tcPr>
            <w:tcW w:type="dxa" w:w="5900"/>
            <w:tcMar>
              <w:top w:type="dxa" w:w="80"/>
              <w:left w:type="dxa" w:w="100"/>
              <w:bottom w:type="dxa" w:w="80"/>
              <w:right w:type="dxa" w:w="100"/>
            </w:tcMar>
          </w:tcPr>
          <w:p>
            <w:r>
              <w:t xml:space="preserve">Text inside chat bubbles and raised #1a332d surfaces</w:t>
            </w:r>
          </w:p>
        </w:tc>
      </w:tr>
      <w:tr>
        <w:tc>
          <w:tcPr>
            <w:tcW w:type="dxa" w:w="2000"/>
            <w:tcMar>
              <w:top w:type="dxa" w:w="80"/>
              <w:left w:type="dxa" w:w="100"/>
              <w:bottom w:type="dxa" w:w="80"/>
              <w:right w:type="dxa" w:w="100"/>
            </w:tcMar>
          </w:tcPr>
          <w:p>
            <w:r>
              <w:t xml:space="preserve">Accent (bold)</w:t>
            </w:r>
          </w:p>
        </w:tc>
        <w:tc>
          <w:tcPr>
            <w:tcW w:type="dxa" w:w="1400"/>
            <w:shd w:fill="2dd4bf" w:val="clear"/>
            <w:tcMar>
              <w:top w:type="dxa" w:w="80"/>
              <w:left w:type="dxa" w:w="100"/>
              <w:bottom w:type="dxa" w:w="80"/>
              <w:right w:type="dxa" w:w="100"/>
            </w:tcMar>
          </w:tcPr>
          <w:p>
            <w:r>
              <w:rPr>
                <w:b/>
                <w:bCs/>
                <w:color w:val="06211D"/>
              </w:rPr>
              <w:t xml:space="preserve">#2dd4bf</w:t>
            </w:r>
          </w:p>
        </w:tc>
        <w:tc>
          <w:tcPr>
            <w:tcW w:type="dxa" w:w="5900"/>
            <w:tcMar>
              <w:top w:type="dxa" w:w="80"/>
              <w:left w:type="dxa" w:w="100"/>
              <w:bottom w:type="dxa" w:w="80"/>
              <w:right w:type="dxa" w:w="100"/>
            </w:tcMar>
          </w:tcPr>
          <w:p>
            <w:r>
              <w:t xml:space="preserve">Links, icons, active states, borders, focal highlights</w:t>
            </w:r>
          </w:p>
        </w:tc>
      </w:tr>
      <w:tr>
        <w:tc>
          <w:tcPr>
            <w:tcW w:type="dxa" w:w="2000"/>
            <w:tcMar>
              <w:top w:type="dxa" w:w="80"/>
              <w:left w:type="dxa" w:w="100"/>
              <w:bottom w:type="dxa" w:w="80"/>
              <w:right w:type="dxa" w:w="100"/>
            </w:tcMar>
          </w:tcPr>
          <w:p>
            <w:r>
              <w:t xml:space="preserve">Accent — on-fill text</w:t>
            </w:r>
          </w:p>
        </w:tc>
        <w:tc>
          <w:tcPr>
            <w:tcW w:type="dxa" w:w="1400"/>
            <w:shd w:fill="06211d" w:val="clear"/>
            <w:tcMar>
              <w:top w:type="dxa" w:w="80"/>
              <w:left w:type="dxa" w:w="100"/>
              <w:bottom w:type="dxa" w:w="80"/>
              <w:right w:type="dxa" w:w="100"/>
            </w:tcMar>
          </w:tcPr>
          <w:p>
            <w:r>
              <w:rPr>
                <w:b/>
                <w:bCs/>
                <w:color w:val="FFFFFF"/>
              </w:rPr>
              <w:t xml:space="preserve">#06211d</w:t>
            </w:r>
          </w:p>
        </w:tc>
        <w:tc>
          <w:tcPr>
            <w:tcW w:type="dxa" w:w="5900"/>
            <w:tcMar>
              <w:top w:type="dxa" w:w="80"/>
              <w:left w:type="dxa" w:w="100"/>
              <w:bottom w:type="dxa" w:w="80"/>
              <w:right w:type="dxa" w:w="100"/>
            </w:tcMar>
          </w:tcPr>
          <w:p>
            <w:r>
              <w:t xml:space="preserve">Text/icons placed on top of a solid accent fill (buttons, badges, filled chat bubble)</w:t>
            </w:r>
          </w:p>
        </w:tc>
      </w:tr>
      <w:tr>
        <w:tc>
          <w:tcPr>
            <w:tcW w:type="dxa" w:w="2000"/>
            <w:tcMar>
              <w:top w:type="dxa" w:w="80"/>
              <w:left w:type="dxa" w:w="100"/>
              <w:bottom w:type="dxa" w:w="80"/>
              <w:right w:type="dxa" w:w="100"/>
            </w:tcMar>
          </w:tcPr>
          <w:p>
            <w:r>
              <w:t xml:space="preserve">Code text</w:t>
            </w:r>
          </w:p>
        </w:tc>
        <w:tc>
          <w:tcPr>
            <w:tcW w:type="dxa" w:w="1400"/>
            <w:shd w:fill="a9f2e7" w:val="clear"/>
            <w:tcMar>
              <w:top w:type="dxa" w:w="80"/>
              <w:left w:type="dxa" w:w="100"/>
              <w:bottom w:type="dxa" w:w="80"/>
              <w:right w:type="dxa" w:w="100"/>
            </w:tcMar>
          </w:tcPr>
          <w:p>
            <w:r>
              <w:rPr>
                <w:b/>
                <w:bCs/>
                <w:color w:val="06211D"/>
              </w:rPr>
              <w:t xml:space="preserve">#a9f2e7</w:t>
            </w:r>
          </w:p>
        </w:tc>
        <w:tc>
          <w:tcPr>
            <w:tcW w:type="dxa" w:w="5900"/>
            <w:tcMar>
              <w:top w:type="dxa" w:w="80"/>
              <w:left w:type="dxa" w:w="100"/>
              <w:bottom w:type="dxa" w:w="80"/>
              <w:right w:type="dxa" w:w="100"/>
            </w:tcMar>
          </w:tcPr>
          <w:p>
            <w:r>
              <w:t xml:space="preserve">Monospace install-script snippet</w:t>
            </w:r>
          </w:p>
        </w:tc>
      </w:tr>
    </w:tbl>
    <w:p>
      <w:pPr>
        <w:spacing w:after="200"/>
      </w:pPr>
    </w:p>
    <w:p>
      <w:pPr>
        <w:spacing w:after="160"/>
      </w:pPr>
      <w:r>
        <w:rPr>
          <w:i/>
          <w:iCs/>
        </w:rPr>
        <w:t xml:space="preserve">Contrast rule of thumb: never place white or light text directly on the bold accent fill — it fails contrast (≈2.5:1). Use the dark #06211d text/icon color on any accent-filled shape instead. Use the accent color as text/icon color directly on the dark page background, where it passes comfortably (≈10:1).</w:t>
      </w:r>
    </w:p>
    <w:p>
      <w:pPr>
        <w:pStyle w:val="Heading2"/>
        <w:spacing w:after="120" w:before="260"/>
      </w:pPr>
      <w:r>
        <w:t xml:space="preserve">2.2 Typography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1300"/>
        <w:gridCol w:w="1200"/>
      </w:tblGrid>
      <w:tr>
        <w:trPr>
          <w:tblHeader/>
        </w:trPr>
        <w:tc>
          <w:tcPr>
            <w:tcW w:type="dxa" w:w="3600"/>
            <w:shd w:fill="132A25" w:val="clear"/>
            <w:tcMar>
              <w:top w:type="dxa" w:w="80"/>
              <w:left w:type="dxa" w:w="100"/>
              <w:bottom w:type="dxa" w:w="80"/>
              <w:right w:type="dxa" w:w="100"/>
            </w:tcMar>
          </w:tcPr>
          <w:p>
            <w:r>
              <w:rPr>
                <w:b/>
                <w:bCs/>
                <w:color w:val="FFFFFF"/>
              </w:rPr>
              <w:t xml:space="preserve">Role</w:t>
            </w:r>
          </w:p>
        </w:tc>
        <w:tc>
          <w:tcPr>
            <w:tcW w:type="dxa" w:w="3200"/>
            <w:shd w:fill="132A25" w:val="clear"/>
            <w:tcMar>
              <w:top w:type="dxa" w:w="80"/>
              <w:left w:type="dxa" w:w="100"/>
              <w:bottom w:type="dxa" w:w="80"/>
              <w:right w:type="dxa" w:w="100"/>
            </w:tcMar>
          </w:tcPr>
          <w:p>
            <w:r>
              <w:rPr>
                <w:b/>
                <w:bCs/>
                <w:color w:val="FFFFFF"/>
              </w:rPr>
              <w:t xml:space="preserve">Font</w:t>
            </w:r>
          </w:p>
        </w:tc>
        <w:tc>
          <w:tcPr>
            <w:tcW w:type="dxa" w:w="1300"/>
            <w:shd w:fill="132A25" w:val="clear"/>
            <w:tcMar>
              <w:top w:type="dxa" w:w="80"/>
              <w:left w:type="dxa" w:w="100"/>
              <w:bottom w:type="dxa" w:w="80"/>
              <w:right w:type="dxa" w:w="100"/>
            </w:tcMar>
          </w:tcPr>
          <w:p>
            <w:r>
              <w:rPr>
                <w:b/>
                <w:bCs/>
                <w:color w:val="FFFFFF"/>
              </w:rPr>
              <w:t xml:space="preserve">Weight</w:t>
            </w:r>
          </w:p>
        </w:tc>
        <w:tc>
          <w:tcPr>
            <w:tcW w:type="dxa" w:w="1200"/>
            <w:shd w:fill="132A25" w:val="clear"/>
            <w:tcMar>
              <w:top w:type="dxa" w:w="80"/>
              <w:left w:type="dxa" w:w="100"/>
              <w:bottom w:type="dxa" w:w="80"/>
              <w:right w:type="dxa" w:w="100"/>
            </w:tcMar>
          </w:tcPr>
          <w:p>
            <w:r>
              <w:rPr>
                <w:b/>
                <w:bCs/>
                <w:color w:val="FFFFFF"/>
              </w:rPr>
              <w:t xml:space="preserve">Size</w:t>
            </w:r>
          </w:p>
        </w:tc>
      </w:tr>
      <w:tr>
        <w:tc>
          <w:tcPr>
            <w:tcW w:type="dxa" w:w="3600"/>
            <w:tcMar>
              <w:top w:type="dxa" w:w="80"/>
              <w:left w:type="dxa" w:w="100"/>
              <w:bottom w:type="dxa" w:w="80"/>
              <w:right w:type="dxa" w:w="100"/>
            </w:tcMar>
          </w:tcPr>
          <w:p>
            <w:r>
              <w:t xml:space="preserve">Headings (H1–H3, nav wordmark, card titles)</w:t>
            </w:r>
          </w:p>
        </w:tc>
        <w:tc>
          <w:tcPr>
            <w:tcW w:type="dxa" w:w="3200"/>
            <w:tcMar>
              <w:top w:type="dxa" w:w="80"/>
              <w:left w:type="dxa" w:w="100"/>
              <w:bottom w:type="dxa" w:w="80"/>
              <w:right w:type="dxa" w:w="100"/>
            </w:tcMar>
          </w:tcPr>
          <w:p>
            <w:r>
              <w:t xml:space="preserve">Manrope</w:t>
            </w:r>
          </w:p>
        </w:tc>
        <w:tc>
          <w:tcPr>
            <w:tcW w:type="dxa" w:w="1300"/>
            <w:tcMar>
              <w:top w:type="dxa" w:w="80"/>
              <w:left w:type="dxa" w:w="100"/>
              <w:bottom w:type="dxa" w:w="80"/>
              <w:right w:type="dxa" w:w="100"/>
            </w:tcMar>
          </w:tcPr>
          <w:p>
            <w:r>
              <w:t xml:space="preserve">700–800</w:t>
            </w:r>
          </w:p>
        </w:tc>
        <w:tc>
          <w:tcPr>
            <w:tcW w:type="dxa" w:w="1200"/>
            <w:tcMar>
              <w:top w:type="dxa" w:w="80"/>
              <w:left w:type="dxa" w:w="100"/>
              <w:bottom w:type="dxa" w:w="80"/>
              <w:right w:type="dxa" w:w="100"/>
            </w:tcMar>
          </w:tcPr>
          <w:p>
            <w:r>
              <w:t xml:space="preserve">18–58px</w:t>
            </w:r>
          </w:p>
        </w:tc>
      </w:tr>
      <w:tr>
        <w:tc>
          <w:tcPr>
            <w:tcW w:type="dxa" w:w="3600"/>
            <w:tcMar>
              <w:top w:type="dxa" w:w="80"/>
              <w:left w:type="dxa" w:w="100"/>
              <w:bottom w:type="dxa" w:w="80"/>
              <w:right w:type="dxa" w:w="100"/>
            </w:tcMar>
          </w:tcPr>
          <w:p>
            <w:r>
              <w:t xml:space="preserve">Body copy, nav links, buttons</w:t>
            </w:r>
          </w:p>
        </w:tc>
        <w:tc>
          <w:tcPr>
            <w:tcW w:type="dxa" w:w="3200"/>
            <w:tcMar>
              <w:top w:type="dxa" w:w="80"/>
              <w:left w:type="dxa" w:w="100"/>
              <w:bottom w:type="dxa" w:w="80"/>
              <w:right w:type="dxa" w:w="100"/>
            </w:tcMar>
          </w:tcPr>
          <w:p>
            <w:r>
              <w:t xml:space="preserve">System UI stack (-apple-system, Segoe UI)</w:t>
            </w:r>
          </w:p>
        </w:tc>
        <w:tc>
          <w:tcPr>
            <w:tcW w:type="dxa" w:w="1300"/>
            <w:tcMar>
              <w:top w:type="dxa" w:w="80"/>
              <w:left w:type="dxa" w:w="100"/>
              <w:bottom w:type="dxa" w:w="80"/>
              <w:right w:type="dxa" w:w="100"/>
            </w:tcMar>
          </w:tcPr>
          <w:p>
            <w:r>
              <w:t xml:space="preserve">500–700</w:t>
            </w:r>
          </w:p>
        </w:tc>
        <w:tc>
          <w:tcPr>
            <w:tcW w:type="dxa" w:w="1200"/>
            <w:tcMar>
              <w:top w:type="dxa" w:w="80"/>
              <w:left w:type="dxa" w:w="100"/>
              <w:bottom w:type="dxa" w:w="80"/>
              <w:right w:type="dxa" w:w="100"/>
            </w:tcMar>
          </w:tcPr>
          <w:p>
            <w:r>
              <w:t xml:space="preserve">13–20px</w:t>
            </w:r>
          </w:p>
        </w:tc>
      </w:tr>
      <w:tr>
        <w:tc>
          <w:tcPr>
            <w:tcW w:type="dxa" w:w="3600"/>
            <w:tcMar>
              <w:top w:type="dxa" w:w="80"/>
              <w:left w:type="dxa" w:w="100"/>
              <w:bottom w:type="dxa" w:w="80"/>
              <w:right w:type="dxa" w:w="100"/>
            </w:tcMar>
          </w:tcPr>
          <w:p>
            <w:r>
              <w:t xml:space="preserve">Code / install snippet</w:t>
            </w:r>
          </w:p>
        </w:tc>
        <w:tc>
          <w:tcPr>
            <w:tcW w:type="dxa" w:w="3200"/>
            <w:tcMar>
              <w:top w:type="dxa" w:w="80"/>
              <w:left w:type="dxa" w:w="100"/>
              <w:bottom w:type="dxa" w:w="80"/>
              <w:right w:type="dxa" w:w="100"/>
            </w:tcMar>
          </w:tcPr>
          <w:p>
            <w:r>
              <w:t xml:space="preserve">ui-monospace (SF Mono, Menlo)</w:t>
            </w:r>
          </w:p>
        </w:tc>
        <w:tc>
          <w:tcPr>
            <w:tcW w:type="dxa" w:w="1300"/>
            <w:tcMar>
              <w:top w:type="dxa" w:w="80"/>
              <w:left w:type="dxa" w:w="100"/>
              <w:bottom w:type="dxa" w:w="80"/>
              <w:right w:type="dxa" w:w="100"/>
            </w:tcMar>
          </w:tcPr>
          <w:p>
            <w:r>
              <w:t xml:space="preserve">400</w:t>
            </w:r>
          </w:p>
        </w:tc>
        <w:tc>
          <w:tcPr>
            <w:tcW w:type="dxa" w:w="1200"/>
            <w:tcMar>
              <w:top w:type="dxa" w:w="80"/>
              <w:left w:type="dxa" w:w="100"/>
              <w:bottom w:type="dxa" w:w="80"/>
              <w:right w:type="dxa" w:w="100"/>
            </w:tcMar>
          </w:tcPr>
          <w:p>
            <w:r>
              <w:t xml:space="preserve">14px</w:t>
            </w:r>
          </w:p>
        </w:tc>
      </w:tr>
    </w:tbl>
    <w:p>
      <w:pPr>
        <w:spacing w:after="200"/>
      </w:pPr>
    </w:p>
    <w:p>
      <w:pPr>
        <w:spacing w:after="160"/>
      </w:pPr>
      <w:r>
        <w:t xml:space="preserve">Manrope is loaded from Google Fonts (weights 500/700/800). Deliberately avoids Inter and Roboto to keep the site from reading as a generic AI-generated template.</w:t>
      </w:r>
    </w:p>
    <w:p>
      <w:pPr>
        <w:pStyle w:val="Heading2"/>
        <w:spacing w:after="120" w:before="260"/>
      </w:pPr>
      <w:r>
        <w:t xml:space="preserve">2.3 Spacing &amp; radius scale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00"/>
      </w:tblGrid>
      <w:tr>
        <w:trPr>
          <w:tblHeader/>
        </w:trPr>
        <w:tc>
          <w:tcPr>
            <w:tcW w:type="dxa" w:w="2400"/>
            <w:shd w:fill="132A25" w:val="clear"/>
            <w:tcMar>
              <w:top w:type="dxa" w:w="80"/>
              <w:left w:type="dxa" w:w="100"/>
              <w:bottom w:type="dxa" w:w="80"/>
              <w:right w:type="dxa" w:w="100"/>
            </w:tcMar>
          </w:tcPr>
          <w:p>
            <w:r>
              <w:rPr>
                <w:b/>
                <w:bCs/>
                <w:color w:val="FFFFFF"/>
              </w:rPr>
              <w:t xml:space="preserve">Element</w:t>
            </w:r>
          </w:p>
        </w:tc>
        <w:tc>
          <w:tcPr>
            <w:tcW w:type="dxa" w:w="2200"/>
            <w:shd w:fill="132A25" w:val="clear"/>
            <w:tcMar>
              <w:top w:type="dxa" w:w="80"/>
              <w:left w:type="dxa" w:w="100"/>
              <w:bottom w:type="dxa" w:w="80"/>
              <w:right w:type="dxa" w:w="100"/>
            </w:tcMar>
          </w:tcPr>
          <w:p>
            <w:r>
              <w:rPr>
                <w:b/>
                <w:bCs/>
                <w:color w:val="FFFFFF"/>
              </w:rPr>
              <w:t xml:space="preserve">Radius</w:t>
            </w:r>
          </w:p>
        </w:tc>
        <w:tc>
          <w:tcPr>
            <w:tcW w:type="dxa" w:w="4700"/>
            <w:shd w:fill="132A25" w:val="clear"/>
            <w:tcMar>
              <w:top w:type="dxa" w:w="80"/>
              <w:left w:type="dxa" w:w="100"/>
              <w:bottom w:type="dxa" w:w="80"/>
              <w:right w:type="dxa" w:w="100"/>
            </w:tcMar>
          </w:tcPr>
          <w:p>
            <w:r>
              <w:rPr>
                <w:b/>
                <w:bCs/>
                <w:color w:val="FFFFFF"/>
              </w:rPr>
              <w:t xml:space="preserve">Notes</w:t>
            </w:r>
          </w:p>
        </w:tc>
      </w:tr>
      <w:tr>
        <w:tc>
          <w:tcPr>
            <w:tcW w:type="dxa" w:w="2400"/>
            <w:tcMar>
              <w:top w:type="dxa" w:w="80"/>
              <w:left w:type="dxa" w:w="100"/>
              <w:bottom w:type="dxa" w:w="80"/>
              <w:right w:type="dxa" w:w="100"/>
            </w:tcMar>
          </w:tcPr>
          <w:p>
            <w:r>
              <w:t xml:space="preserve">Buttons</w:t>
            </w:r>
          </w:p>
        </w:tc>
        <w:tc>
          <w:tcPr>
            <w:tcW w:type="dxa" w:w="2200"/>
            <w:tcMar>
              <w:top w:type="dxa" w:w="80"/>
              <w:left w:type="dxa" w:w="100"/>
              <w:bottom w:type="dxa" w:w="80"/>
              <w:right w:type="dxa" w:w="100"/>
            </w:tcMar>
          </w:tcPr>
          <w:p>
            <w:r>
              <w:t xml:space="preserve">8px</w:t>
            </w:r>
          </w:p>
        </w:tc>
        <w:tc>
          <w:tcPr>
            <w:tcW w:type="dxa" w:w="4700"/>
            <w:tcMar>
              <w:top w:type="dxa" w:w="80"/>
              <w:left w:type="dxa" w:w="100"/>
              <w:bottom w:type="dxa" w:w="80"/>
              <w:right w:type="dxa" w:w="100"/>
            </w:tcMar>
          </w:tcPr>
          <w:p>
            <w:r>
              <w:t xml:space="preserve">Primary (filled accent) and secondary (outlined) buttons</w:t>
            </w:r>
          </w:p>
        </w:tc>
      </w:tr>
      <w:tr>
        <w:tc>
          <w:tcPr>
            <w:tcW w:type="dxa" w:w="2400"/>
            <w:tcMar>
              <w:top w:type="dxa" w:w="80"/>
              <w:left w:type="dxa" w:w="100"/>
              <w:bottom w:type="dxa" w:w="80"/>
              <w:right w:type="dxa" w:w="100"/>
            </w:tcMar>
          </w:tcPr>
          <w:p>
            <w:r>
              <w:t xml:space="preserve">Cards</w:t>
            </w:r>
          </w:p>
        </w:tc>
        <w:tc>
          <w:tcPr>
            <w:tcW w:type="dxa" w:w="2200"/>
            <w:tcMar>
              <w:top w:type="dxa" w:w="80"/>
              <w:left w:type="dxa" w:w="100"/>
              <w:bottom w:type="dxa" w:w="80"/>
              <w:right w:type="dxa" w:w="100"/>
            </w:tcMar>
          </w:tcPr>
          <w:p>
            <w:r>
              <w:t xml:space="preserve">12px</w:t>
            </w:r>
          </w:p>
        </w:tc>
        <w:tc>
          <w:tcPr>
            <w:tcW w:type="dxa" w:w="4700"/>
            <w:tcMar>
              <w:top w:type="dxa" w:w="80"/>
              <w:left w:type="dxa" w:w="100"/>
              <w:bottom w:type="dxa" w:w="80"/>
              <w:right w:type="dxa" w:w="100"/>
            </w:tcMar>
          </w:tcPr>
          <w:p>
            <w:r>
              <w:t xml:space="preserve">Feature, pricing, and step cards</w:t>
            </w:r>
          </w:p>
        </w:tc>
      </w:tr>
      <w:tr>
        <w:tc>
          <w:tcPr>
            <w:tcW w:type="dxa" w:w="2400"/>
            <w:tcMar>
              <w:top w:type="dxa" w:w="80"/>
              <w:left w:type="dxa" w:w="100"/>
              <w:bottom w:type="dxa" w:w="80"/>
              <w:right w:type="dxa" w:w="100"/>
            </w:tcMar>
          </w:tcPr>
          <w:p>
            <w:r>
              <w:t xml:space="preserve">Nav bar / footer card</w:t>
            </w:r>
          </w:p>
        </w:tc>
        <w:tc>
          <w:tcPr>
            <w:tcW w:type="dxa" w:w="2200"/>
            <w:tcMar>
              <w:top w:type="dxa" w:w="80"/>
              <w:left w:type="dxa" w:w="100"/>
              <w:bottom w:type="dxa" w:w="80"/>
              <w:right w:type="dxa" w:w="100"/>
            </w:tcMar>
          </w:tcPr>
          <w:p>
            <w:r>
              <w:t xml:space="preserve">20px</w:t>
            </w:r>
          </w:p>
        </w:tc>
        <w:tc>
          <w:tcPr>
            <w:tcW w:type="dxa" w:w="4700"/>
            <w:tcMar>
              <w:top w:type="dxa" w:w="80"/>
              <w:left w:type="dxa" w:w="100"/>
              <w:bottom w:type="dxa" w:w="80"/>
              <w:right w:type="dxa" w:w="100"/>
            </w:tcMar>
          </w:tcPr>
          <w:p>
            <w:r>
              <w:t xml:space="preserve">Floating containers only — not a full pill</w:t>
            </w:r>
          </w:p>
        </w:tc>
      </w:tr>
      <w:tr>
        <w:tc>
          <w:tcPr>
            <w:tcW w:type="dxa" w:w="2400"/>
            <w:tcMar>
              <w:top w:type="dxa" w:w="80"/>
              <w:left w:type="dxa" w:w="100"/>
              <w:bottom w:type="dxa" w:w="80"/>
              <w:right w:type="dxa" w:w="100"/>
            </w:tcMar>
          </w:tcPr>
          <w:p>
            <w:r>
              <w:t xml:space="preserve">Badges / chips / pills</w:t>
            </w:r>
          </w:p>
        </w:tc>
        <w:tc>
          <w:tcPr>
            <w:tcW w:type="dxa" w:w="2200"/>
            <w:tcMar>
              <w:top w:type="dxa" w:w="80"/>
              <w:left w:type="dxa" w:w="100"/>
              <w:bottom w:type="dxa" w:w="80"/>
              <w:right w:type="dxa" w:w="100"/>
            </w:tcMar>
          </w:tcPr>
          <w:p>
            <w:r>
              <w:t xml:space="preserve">9999px (full)</w:t>
            </w:r>
          </w:p>
        </w:tc>
        <w:tc>
          <w:tcPr>
            <w:tcW w:type="dxa" w:w="4700"/>
            <w:tcMar>
              <w:top w:type="dxa" w:w="80"/>
              <w:left w:type="dxa" w:w="100"/>
              <w:bottom w:type="dxa" w:w="80"/>
              <w:right w:type="dxa" w:w="100"/>
            </w:tcMar>
          </w:tcPr>
          <w:p>
            <w:r>
              <w:t xml:space="preserve">Eyebrow badge, pricing "Most popular" tag, chat chips</w:t>
            </w:r>
          </w:p>
        </w:tc>
      </w:tr>
      <w:tr>
        <w:tc>
          <w:tcPr>
            <w:tcW w:type="dxa" w:w="2400"/>
            <w:tcMar>
              <w:top w:type="dxa" w:w="80"/>
              <w:left w:type="dxa" w:w="100"/>
              <w:bottom w:type="dxa" w:w="80"/>
              <w:right w:type="dxa" w:w="100"/>
            </w:tcMar>
          </w:tcPr>
          <w:p>
            <w:r>
              <w:t xml:space="preserve">Section padding</w:t>
            </w:r>
          </w:p>
        </w:tc>
        <w:tc>
          <w:tcPr>
            <w:tcW w:type="dxa" w:w="2200"/>
            <w:tcMar>
              <w:top w:type="dxa" w:w="80"/>
              <w:left w:type="dxa" w:w="100"/>
              <w:bottom w:type="dxa" w:w="80"/>
              <w:right w:type="dxa" w:w="100"/>
            </w:tcMar>
          </w:tcPr>
          <w:p>
            <w:r>
              <w:t xml:space="preserve">80–96px horizontal, 64–100px vertical</w:t>
            </w:r>
          </w:p>
        </w:tc>
        <w:tc>
          <w:tcPr>
            <w:tcW w:type="dxa" w:w="4700"/>
            <w:tcMar>
              <w:top w:type="dxa" w:w="80"/>
              <w:left w:type="dxa" w:w="100"/>
              <w:bottom w:type="dxa" w:w="80"/>
              <w:right w:type="dxa" w:w="100"/>
            </w:tcMar>
          </w:tcPr>
          <w:p>
            <w:r>
              <w:t xml:space="preserve">Consistent across all three pages</w:t>
            </w:r>
          </w:p>
        </w:tc>
      </w:tr>
      <w:tr>
        <w:tc>
          <w:tcPr>
            <w:tcW w:type="dxa" w:w="2400"/>
            <w:tcMar>
              <w:top w:type="dxa" w:w="80"/>
              <w:left w:type="dxa" w:w="100"/>
              <w:bottom w:type="dxa" w:w="80"/>
              <w:right w:type="dxa" w:w="100"/>
            </w:tcMar>
          </w:tcPr>
          <w:p>
            <w:r>
              <w:t xml:space="preserve">Max content width</w:t>
            </w:r>
          </w:p>
        </w:tc>
        <w:tc>
          <w:tcPr>
            <w:tcW w:type="dxa" w:w="2200"/>
            <w:tcMar>
              <w:top w:type="dxa" w:w="80"/>
              <w:left w:type="dxa" w:w="100"/>
              <w:bottom w:type="dxa" w:w="80"/>
              <w:right w:type="dxa" w:w="100"/>
            </w:tcMar>
          </w:tcPr>
          <w:p>
            <w:r>
              <w:t xml:space="preserve">1160px (nav/footer/sections), 1440px (page canvas)</w:t>
            </w:r>
          </w:p>
        </w:tc>
        <w:tc>
          <w:tcPr>
            <w:tcW w:type="dxa" w:w="4700"/>
            <w:tcMar>
              <w:top w:type="dxa" w:w="80"/>
              <w:left w:type="dxa" w:w="100"/>
              <w:bottom w:type="dxa" w:w="80"/>
              <w:right w:type="dxa" w:w="100"/>
            </w:tcMar>
          </w:tcPr>
          <w:p>
            <w:r>
              <w:t xml:space="preserve">Centered with auto margins</w:t>
            </w:r>
          </w:p>
        </w:tc>
      </w:tr>
    </w:tbl>
    <w:p>
      <w:pPr>
        <w:pStyle w:val="Heading2"/>
        <w:spacing w:after="120" w:before="260"/>
      </w:pPr>
      <w:r>
        <w:t xml:space="preserve">2.4 Component patterns</w:t>
      </w:r>
    </w:p>
    <w:p>
      <w:pPr>
        <w:pStyle w:val="ListParagraph"/>
        <w:numPr>
          <w:ilvl w:val="0"/>
          <w:numId w:val="2"/>
        </w:numPr>
        <w:spacing w:after="60"/>
      </w:pPr>
      <w:r>
        <w:t xml:space="preserve">Navigation: floating rounded-2xl bar, 64px tall, sits inside 28px top padding; active page link gets a #1a332d pill background; primary CTA ("Install it free") stays filled-accent on every page.</w:t>
      </w:r>
    </w:p>
    <w:p>
      <w:pPr>
        <w:pStyle w:val="ListParagraph"/>
        <w:numPr>
          <w:ilvl w:val="0"/>
          <w:numId w:val="2"/>
        </w:numPr>
        <w:spacing w:after="60"/>
      </w:pPr>
      <w:r>
        <w:t xml:space="preserve">Buttons: primary = solid accent fill with dark (#06211d) text; secondary = transparent fill with a #33544d border and light text; both 8px radius.</w:t>
      </w:r>
    </w:p>
    <w:p>
      <w:pPr>
        <w:pStyle w:val="ListParagraph"/>
        <w:numPr>
          <w:ilvl w:val="0"/>
          <w:numId w:val="2"/>
        </w:numPr>
        <w:spacing w:after="60"/>
      </w:pPr>
      <w:r>
        <w:t xml:space="preserve">Cards: 1px #1f3d37 border, 12px radius, #12241f fill; no colored left-border accent treatment (avoided deliberately as an overused AI-template pattern).</w:t>
      </w:r>
    </w:p>
    <w:p>
      <w:pPr>
        <w:pStyle w:val="ListParagraph"/>
        <w:numPr>
          <w:ilvl w:val="0"/>
          <w:numId w:val="2"/>
        </w:numPr>
        <w:spacing w:after="60"/>
      </w:pPr>
      <w:r>
        <w:t xml:space="preserve">Feature icons: borderless cards with an icon centered inside a soft accent-tinted ring (rgba accent fill + rgba accent ring), not a hard-edged icon badge.</w:t>
      </w:r>
    </w:p>
    <w:p>
      <w:pPr>
        <w:pStyle w:val="ListParagraph"/>
        <w:numPr>
          <w:ilvl w:val="0"/>
          <w:numId w:val="2"/>
        </w:numPr>
        <w:spacing w:after="60"/>
      </w:pPr>
      <w:r>
        <w:t xml:space="preserve">Chat bubbles: outbound (visitor) bubble is solid accent fill with dark text; inbound (ReceptIO) bubble is #1a332d fill with #d7ece7 text; both use an asymmetric corner radius (4px on the "pointer" corner).</w:t>
      </w:r>
    </w:p>
    <w:p>
      <w:pPr>
        <w:pStyle w:val="ListParagraph"/>
        <w:numPr>
          <w:ilvl w:val="0"/>
          <w:numId w:val="2"/>
        </w:numPr>
        <w:spacing w:after="60"/>
      </w:pPr>
      <w:r>
        <w:t xml:space="preserve">Dashed result box: #1a332d fill with a 1px dashed accent border, used only for the outcome of a refusal (ticket filed / call offered) — a deliberately distinct, calmer treatment than the chat bubbles above it.</w:t>
      </w:r>
    </w:p>
    <w:p>
      <w:pPr>
        <w:pStyle w:val="ListParagraph"/>
        <w:numPr>
          <w:ilvl w:val="0"/>
          <w:numId w:val="2"/>
        </w:numPr>
        <w:spacing w:after="60"/>
      </w:pPr>
      <w:r>
        <w:t xml:space="preserve">Pricing "popular" card: 2px solid accent border, 1.05–1.06x scale, drop shadow tinted with the accent color, and a small pill badge overlapping the top edge.</w:t>
      </w:r>
    </w:p>
    <w:p>
      <w:pPr>
        <w:pStyle w:val="ListParagraph"/>
        <w:numPr>
          <w:ilvl w:val="0"/>
          <w:numId w:val="2"/>
        </w:numPr>
        <w:spacing w:after="60"/>
      </w:pPr>
      <w:r>
        <w:t xml:space="preserve">Code block: monospace text in a bordered #12241f panel; no syntax highlighting, kept plain and quiet.</w:t>
      </w:r>
    </w:p>
    <w:p>
      <w:pPr>
        <w:pStyle w:val="ListParagraph"/>
        <w:numPr>
          <w:ilvl w:val="0"/>
          <w:numId w:val="2"/>
        </w:numPr>
        <w:spacing w:after="60"/>
      </w:pPr>
      <w:r>
        <w:t xml:space="preserve">Footer: single bordered, rounded-2xl card (not a full-bleed dark strip) containing the wordmark, a link row, a divider, two support-copy columns, and a copyright line.</w:t>
      </w:r>
    </w:p>
    <w:p>
      <w:pPr>
        <w:pStyle w:val="Heading1"/>
        <w:spacing w:after="160" w:before="320"/>
      </w:pPr>
      <w:r>
        <w:t xml:space="preserve">3. Page-by-page notes</w:t>
      </w:r>
    </w:p>
    <w:p>
      <w:pPr>
        <w:pStyle w:val="Heading2"/>
        <w:spacing w:after="120" w:before="260"/>
      </w:pPr>
      <w:r>
        <w:t xml:space="preserve">3.1 Home (index.html)</w:t>
      </w:r>
    </w:p>
    <w:p>
      <w:pPr>
        <w:spacing w:after="160"/>
      </w:pPr>
      <w:r>
        <w:t xml:space="preserve">Structure, top to bottom:</w:t>
      </w:r>
    </w:p>
    <w:p>
      <w:pPr>
        <w:pStyle w:val="ListParagraph"/>
        <w:numPr>
          <w:ilvl w:val="0"/>
          <w:numId w:val="2"/>
        </w:numPr>
        <w:spacing w:after="60"/>
      </w:pPr>
      <w:r>
        <w:t xml:space="preserve">Floating nav — Home / Pricing / Install, "Install it free" CTA.</w:t>
      </w:r>
    </w:p>
    <w:p>
      <w:pPr>
        <w:pStyle w:val="ListParagraph"/>
        <w:numPr>
          <w:ilvl w:val="0"/>
          <w:numId w:val="2"/>
        </w:numPr>
        <w:spacing w:after="60"/>
      </w:pPr>
      <w:r>
        <w:t xml:space="preserve">Hero — eyebrow badge ("For small, independent service businesses"), H1 with accent-highlighted phrase, subhead, two CTAs ("Install it free" and "See it answer a question it doesn't know", which anchors to the refusal section).</w:t>
      </w:r>
    </w:p>
    <w:p>
      <w:pPr>
        <w:pStyle w:val="ListParagraph"/>
        <w:numPr>
          <w:ilvl w:val="0"/>
          <w:numId w:val="2"/>
        </w:numPr>
        <w:spacing w:after="60"/>
      </w:pPr>
      <w:r>
        <w:t xml:space="preserve">Live demo panel — a dark browser-chrome mockup of a fictional customer site ("Cadence Dental Care") with a floating ReceptIO widget above the fold. Three question chips are clickable; the visible answer swaps between three canned, honest responses (hours, walk-ins, pricing).</w:t>
      </w:r>
    </w:p>
    <w:p>
      <w:pPr>
        <w:pStyle w:val="ListParagraph"/>
        <w:numPr>
          <w:ilvl w:val="0"/>
          <w:numId w:val="2"/>
        </w:numPr>
        <w:spacing w:after="60"/>
      </w:pPr>
      <w:r>
        <w:t xml:space="preserve">"Watch it refuse to guess" section (#refuse) — two side-by-side chat transcripts, each showing a question outside the widget's known content, followed by the widget declining to guess and either filing a support ticket with a reference number or offering a specific weekday call slot for a human to confirm.</w:t>
      </w:r>
    </w:p>
    <w:p>
      <w:pPr>
        <w:pStyle w:val="ListParagraph"/>
        <w:numPr>
          <w:ilvl w:val="0"/>
          <w:numId w:val="2"/>
        </w:numPr>
        <w:spacing w:after="60"/>
      </w:pPr>
      <w:r>
        <w:t xml:space="preserve">Features — four borderless, icon-ring cards: answers from your content only, one-line install, ticket-or-call handoff, works alongside existing tools.</w:t>
      </w:r>
    </w:p>
    <w:p>
      <w:pPr>
        <w:pStyle w:val="ListParagraph"/>
        <w:numPr>
          <w:ilvl w:val="0"/>
          <w:numId w:val="2"/>
        </w:numPr>
        <w:spacing w:after="60"/>
      </w:pPr>
      <w:r>
        <w:t xml:space="preserve">Pricing teaser — three of the four tiers (Free, Starter, Growth-popular) with a link through to the full Pricing page.</w:t>
      </w:r>
    </w:p>
    <w:p>
      <w:pPr>
        <w:pStyle w:val="ListParagraph"/>
        <w:numPr>
          <w:ilvl w:val="0"/>
          <w:numId w:val="2"/>
        </w:numPr>
        <w:spacing w:after="60"/>
      </w:pPr>
      <w:r>
        <w:t xml:space="preserve">Footer card — wordmark, nav links, support-hours note, one-line product description, copyright.</w:t>
      </w:r>
    </w:p>
    <w:p>
      <w:pPr>
        <w:spacing w:after="200"/>
      </w:pPr>
    </w:p>
    <w:p>
      <w:pPr>
        <w:spacing w:after="160"/>
      </w:pPr>
      <w:r>
        <w:rPr>
          <w:i/>
          <w:iCs/>
        </w:rPr>
        <w:t xml:space="preserve">Interactive behavior in the standalone export: the original artboard drove the chip/answer state through the Design-canvas component runtime. The standalone home.html reproduces the same visible behavior with a small inline script (showAnswer(key)) that toggles which of three pre-written answer blocks is visible and re-styles the selected chip — no build step or framework required.</w:t>
      </w:r>
    </w:p>
    <w:p>
      <w:pPr>
        <w:pStyle w:val="Heading2"/>
        <w:spacing w:after="120" w:before="260"/>
      </w:pPr>
      <w:r>
        <w:t xml:space="preserve">3.2 Pricing (pricing.html)</w:t>
      </w:r>
    </w:p>
    <w:p>
      <w:pPr>
        <w:spacing w:after="160"/>
      </w:pPr>
      <w:r>
        <w:t xml:space="preserve">Structure: nav (Pricing active) → header ("One flat price. No per-resolution surprises.") → four-tier card grid → a one-line flat-vs-per-resolution comparison naming Intercom Fin's published $0.99-per-resolution rate → a three-item FAQ → footer card.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100"/>
        <w:gridCol w:w="1200"/>
        <w:gridCol w:w="2100"/>
      </w:tblGrid>
      <w:tr>
        <w:trPr>
          <w:tblHeader/>
        </w:trPr>
        <w:tc>
          <w:tcPr>
            <w:tcW w:type="dxa" w:w="2400"/>
            <w:shd w:fill="132A25" w:val="clear"/>
            <w:tcMar>
              <w:top w:type="dxa" w:w="80"/>
              <w:left w:type="dxa" w:w="100"/>
              <w:bottom w:type="dxa" w:w="80"/>
              <w:right w:type="dxa" w:w="100"/>
            </w:tcMar>
          </w:tcPr>
          <w:p>
            <w:r>
              <w:rPr>
                <w:b/>
                <w:bCs/>
                <w:color w:val="FFFFFF"/>
              </w:rPr>
              <w:t xml:space="preserve">Tier</w:t>
            </w:r>
          </w:p>
        </w:tc>
        <w:tc>
          <w:tcPr>
            <w:tcW w:type="dxa" w:w="1500"/>
            <w:shd w:fill="132A25" w:val="clear"/>
            <w:tcMar>
              <w:top w:type="dxa" w:w="80"/>
              <w:left w:type="dxa" w:w="100"/>
              <w:bottom w:type="dxa" w:w="80"/>
              <w:right w:type="dxa" w:w="100"/>
            </w:tcMar>
          </w:tcPr>
          <w:p>
            <w:r>
              <w:rPr>
                <w:b/>
                <w:bCs/>
                <w:color w:val="FFFFFF"/>
              </w:rPr>
              <w:t xml:space="preserve">Price</w:t>
            </w:r>
          </w:p>
        </w:tc>
        <w:tc>
          <w:tcPr>
            <w:tcW w:type="dxa" w:w="2100"/>
            <w:shd w:fill="132A25" w:val="clear"/>
            <w:tcMar>
              <w:top w:type="dxa" w:w="80"/>
              <w:left w:type="dxa" w:w="100"/>
              <w:bottom w:type="dxa" w:w="80"/>
              <w:right w:type="dxa" w:w="100"/>
            </w:tcMar>
          </w:tcPr>
          <w:p>
            <w:r>
              <w:rPr>
                <w:b/>
                <w:bCs/>
                <w:color w:val="FFFFFF"/>
              </w:rPr>
              <w:t xml:space="preserve">Conversations/mo</w:t>
            </w:r>
          </w:p>
        </w:tc>
        <w:tc>
          <w:tcPr>
            <w:tcW w:type="dxa" w:w="1200"/>
            <w:shd w:fill="132A25" w:val="clear"/>
            <w:tcMar>
              <w:top w:type="dxa" w:w="80"/>
              <w:left w:type="dxa" w:w="100"/>
              <w:bottom w:type="dxa" w:w="80"/>
              <w:right w:type="dxa" w:w="100"/>
            </w:tcMar>
          </w:tcPr>
          <w:p>
            <w:r>
              <w:rPr>
                <w:b/>
                <w:bCs/>
                <w:color w:val="FFFFFF"/>
              </w:rPr>
              <w:t xml:space="preserve">Seats</w:t>
            </w:r>
          </w:p>
        </w:tc>
        <w:tc>
          <w:tcPr>
            <w:tcW w:type="dxa" w:w="2100"/>
            <w:shd w:fill="132A25" w:val="clear"/>
            <w:tcMar>
              <w:top w:type="dxa" w:w="80"/>
              <w:left w:type="dxa" w:w="100"/>
              <w:bottom w:type="dxa" w:w="80"/>
              <w:right w:type="dxa" w:w="100"/>
            </w:tcMar>
          </w:tcPr>
          <w:p>
            <w:r>
              <w:rPr>
                <w:b/>
                <w:bCs/>
                <w:color w:val="FFFFFF"/>
              </w:rPr>
              <w:t xml:space="preserve">Branding</w:t>
            </w:r>
          </w:p>
        </w:tc>
      </w:tr>
      <w:tr>
        <w:tc>
          <w:tcPr>
            <w:tcW w:type="dxa" w:w="2400"/>
            <w:tcMar>
              <w:top w:type="dxa" w:w="80"/>
              <w:left w:type="dxa" w:w="100"/>
              <w:bottom w:type="dxa" w:w="80"/>
              <w:right w:type="dxa" w:w="100"/>
            </w:tcMar>
          </w:tcPr>
          <w:p>
            <w:r>
              <w:t xml:space="preserve">Free</w:t>
            </w:r>
          </w:p>
        </w:tc>
        <w:tc>
          <w:tcPr>
            <w:tcW w:type="dxa" w:w="1500"/>
            <w:tcMar>
              <w:top w:type="dxa" w:w="80"/>
              <w:left w:type="dxa" w:w="100"/>
              <w:bottom w:type="dxa" w:w="80"/>
              <w:right w:type="dxa" w:w="100"/>
            </w:tcMar>
          </w:tcPr>
          <w:p>
            <w:r>
              <w:t xml:space="preserve">$0/mo</w:t>
            </w:r>
          </w:p>
        </w:tc>
        <w:tc>
          <w:tcPr>
            <w:tcW w:type="dxa" w:w="2100"/>
            <w:tcMar>
              <w:top w:type="dxa" w:w="80"/>
              <w:left w:type="dxa" w:w="100"/>
              <w:bottom w:type="dxa" w:w="80"/>
              <w:right w:type="dxa" w:w="100"/>
            </w:tcMar>
          </w:tcPr>
          <w:p>
            <w:r>
              <w:t xml:space="preserve">50</w:t>
            </w:r>
          </w:p>
        </w:tc>
        <w:tc>
          <w:tcPr>
            <w:tcW w:type="dxa" w:w="1200"/>
            <w:tcMar>
              <w:top w:type="dxa" w:w="80"/>
              <w:left w:type="dxa" w:w="100"/>
              <w:bottom w:type="dxa" w:w="80"/>
              <w:right w:type="dxa" w:w="100"/>
            </w:tcMar>
          </w:tcPr>
          <w:p>
            <w:r>
              <w:t xml:space="preserve">1</w:t>
            </w:r>
          </w:p>
        </w:tc>
        <w:tc>
          <w:tcPr>
            <w:tcW w:type="dxa" w:w="2100"/>
            <w:tcMar>
              <w:top w:type="dxa" w:w="80"/>
              <w:left w:type="dxa" w:w="100"/>
              <w:bottom w:type="dxa" w:w="80"/>
              <w:right w:type="dxa" w:w="100"/>
            </w:tcMar>
          </w:tcPr>
          <w:p>
            <w:r>
              <w:t xml:space="preserve">ReceptIO branding shown</w:t>
            </w:r>
          </w:p>
        </w:tc>
      </w:tr>
      <w:tr>
        <w:tc>
          <w:tcPr>
            <w:tcW w:type="dxa" w:w="2400"/>
            <w:tcMar>
              <w:top w:type="dxa" w:w="80"/>
              <w:left w:type="dxa" w:w="100"/>
              <w:bottom w:type="dxa" w:w="80"/>
              <w:right w:type="dxa" w:w="100"/>
            </w:tcMar>
          </w:tcPr>
          <w:p>
            <w:r>
              <w:t xml:space="preserve">Starter</w:t>
            </w:r>
          </w:p>
        </w:tc>
        <w:tc>
          <w:tcPr>
            <w:tcW w:type="dxa" w:w="1500"/>
            <w:tcMar>
              <w:top w:type="dxa" w:w="80"/>
              <w:left w:type="dxa" w:w="100"/>
              <w:bottom w:type="dxa" w:w="80"/>
              <w:right w:type="dxa" w:w="100"/>
            </w:tcMar>
          </w:tcPr>
          <w:p>
            <w:r>
              <w:t xml:space="preserve">$29/mo</w:t>
            </w:r>
          </w:p>
        </w:tc>
        <w:tc>
          <w:tcPr>
            <w:tcW w:type="dxa" w:w="2100"/>
            <w:tcMar>
              <w:top w:type="dxa" w:w="80"/>
              <w:left w:type="dxa" w:w="100"/>
              <w:bottom w:type="dxa" w:w="80"/>
              <w:right w:type="dxa" w:w="100"/>
            </w:tcMar>
          </w:tcPr>
          <w:p>
            <w:r>
              <w:t xml:space="preserve">300</w:t>
            </w:r>
          </w:p>
        </w:tc>
        <w:tc>
          <w:tcPr>
            <w:tcW w:type="dxa" w:w="1200"/>
            <w:tcMar>
              <w:top w:type="dxa" w:w="80"/>
              <w:left w:type="dxa" w:w="100"/>
              <w:bottom w:type="dxa" w:w="80"/>
              <w:right w:type="dxa" w:w="100"/>
            </w:tcMar>
          </w:tcPr>
          <w:p>
            <w:r>
              <w:t xml:space="preserve">1</w:t>
            </w:r>
          </w:p>
        </w:tc>
        <w:tc>
          <w:tcPr>
            <w:tcW w:type="dxa" w:w="2100"/>
            <w:tcMar>
              <w:top w:type="dxa" w:w="80"/>
              <w:left w:type="dxa" w:w="100"/>
              <w:bottom w:type="dxa" w:w="80"/>
              <w:right w:type="dxa" w:w="100"/>
            </w:tcMar>
          </w:tcPr>
          <w:p>
            <w:r>
              <w:t xml:space="preserve">Removed</w:t>
            </w:r>
          </w:p>
        </w:tc>
      </w:tr>
      <w:tr>
        <w:tc>
          <w:tcPr>
            <w:tcW w:type="dxa" w:w="2400"/>
            <w:tcMar>
              <w:top w:type="dxa" w:w="80"/>
              <w:left w:type="dxa" w:w="100"/>
              <w:bottom w:type="dxa" w:w="80"/>
              <w:right w:type="dxa" w:w="100"/>
            </w:tcMar>
          </w:tcPr>
          <w:p>
            <w:r>
              <w:t xml:space="preserve">Growth (Most popular)</w:t>
            </w:r>
          </w:p>
        </w:tc>
        <w:tc>
          <w:tcPr>
            <w:tcW w:type="dxa" w:w="1500"/>
            <w:tcMar>
              <w:top w:type="dxa" w:w="80"/>
              <w:left w:type="dxa" w:w="100"/>
              <w:bottom w:type="dxa" w:w="80"/>
              <w:right w:type="dxa" w:w="100"/>
            </w:tcMar>
          </w:tcPr>
          <w:p>
            <w:r>
              <w:t xml:space="preserve">$79/mo</w:t>
            </w:r>
          </w:p>
        </w:tc>
        <w:tc>
          <w:tcPr>
            <w:tcW w:type="dxa" w:w="2100"/>
            <w:tcMar>
              <w:top w:type="dxa" w:w="80"/>
              <w:left w:type="dxa" w:w="100"/>
              <w:bottom w:type="dxa" w:w="80"/>
              <w:right w:type="dxa" w:w="100"/>
            </w:tcMar>
          </w:tcPr>
          <w:p>
            <w:r>
              <w:t xml:space="preserve">1,000</w:t>
            </w:r>
          </w:p>
        </w:tc>
        <w:tc>
          <w:tcPr>
            <w:tcW w:type="dxa" w:w="1200"/>
            <w:tcMar>
              <w:top w:type="dxa" w:w="80"/>
              <w:left w:type="dxa" w:w="100"/>
              <w:bottom w:type="dxa" w:w="80"/>
              <w:right w:type="dxa" w:w="100"/>
            </w:tcMar>
          </w:tcPr>
          <w:p>
            <w:r>
              <w:t xml:space="preserve">3</w:t>
            </w:r>
          </w:p>
        </w:tc>
        <w:tc>
          <w:tcPr>
            <w:tcW w:type="dxa" w:w="2100"/>
            <w:tcMar>
              <w:top w:type="dxa" w:w="80"/>
              <w:left w:type="dxa" w:w="100"/>
              <w:bottom w:type="dxa" w:w="80"/>
              <w:right w:type="dxa" w:w="100"/>
            </w:tcMar>
          </w:tcPr>
          <w:p>
            <w:r>
              <w:t xml:space="preserve">Removed</w:t>
            </w:r>
          </w:p>
        </w:tc>
      </w:tr>
      <w:tr>
        <w:tc>
          <w:tcPr>
            <w:tcW w:type="dxa" w:w="2400"/>
            <w:tcMar>
              <w:top w:type="dxa" w:w="80"/>
              <w:left w:type="dxa" w:w="100"/>
              <w:bottom w:type="dxa" w:w="80"/>
              <w:right w:type="dxa" w:w="100"/>
            </w:tcMar>
          </w:tcPr>
          <w:p>
            <w:r>
              <w:t xml:space="preserve">Pro</w:t>
            </w:r>
          </w:p>
        </w:tc>
        <w:tc>
          <w:tcPr>
            <w:tcW w:type="dxa" w:w="1500"/>
            <w:tcMar>
              <w:top w:type="dxa" w:w="80"/>
              <w:left w:type="dxa" w:w="100"/>
              <w:bottom w:type="dxa" w:w="80"/>
              <w:right w:type="dxa" w:w="100"/>
            </w:tcMar>
          </w:tcPr>
          <w:p>
            <w:r>
              <w:t xml:space="preserve">$199/mo</w:t>
            </w:r>
          </w:p>
        </w:tc>
        <w:tc>
          <w:tcPr>
            <w:tcW w:type="dxa" w:w="2100"/>
            <w:tcMar>
              <w:top w:type="dxa" w:w="80"/>
              <w:left w:type="dxa" w:w="100"/>
              <w:bottom w:type="dxa" w:w="80"/>
              <w:right w:type="dxa" w:w="100"/>
            </w:tcMar>
          </w:tcPr>
          <w:p>
            <w:r>
              <w:t xml:space="preserve">3,000</w:t>
            </w:r>
          </w:p>
        </w:tc>
        <w:tc>
          <w:tcPr>
            <w:tcW w:type="dxa" w:w="1200"/>
            <w:tcMar>
              <w:top w:type="dxa" w:w="80"/>
              <w:left w:type="dxa" w:w="100"/>
              <w:bottom w:type="dxa" w:w="80"/>
              <w:right w:type="dxa" w:w="100"/>
            </w:tcMar>
          </w:tcPr>
          <w:p>
            <w:r>
              <w:t xml:space="preserve">3</w:t>
            </w:r>
          </w:p>
        </w:tc>
        <w:tc>
          <w:tcPr>
            <w:tcW w:type="dxa" w:w="2100"/>
            <w:tcMar>
              <w:top w:type="dxa" w:w="80"/>
              <w:left w:type="dxa" w:w="100"/>
              <w:bottom w:type="dxa" w:w="80"/>
              <w:right w:type="dxa" w:w="100"/>
            </w:tcMar>
          </w:tcPr>
          <w:p>
            <w:r>
              <w:t xml:space="preserve">White-label</w:t>
            </w:r>
          </w:p>
        </w:tc>
      </w:tr>
    </w:tbl>
    <w:p>
      <w:pPr>
        <w:spacing w:after="200"/>
      </w:pPr>
    </w:p>
    <w:p>
      <w:pPr>
        <w:spacing w:after="160"/>
      </w:pPr>
      <w:r>
        <w:t xml:space="preserve">FAQ covers: what counts as a conversation, what happens over the monthly limit, and how to cancel — all direct, no hedging or filler.</w:t>
      </w:r>
    </w:p>
    <w:p>
      <w:pPr>
        <w:pStyle w:val="Heading2"/>
        <w:spacing w:after="120" w:before="260"/>
      </w:pPr>
      <w:r>
        <w:t xml:space="preserve">3.3 Install (install.html)</w:t>
      </w:r>
    </w:p>
    <w:p>
      <w:pPr>
        <w:spacing w:after="160"/>
      </w:pPr>
      <w:r>
        <w:t xml:space="preserve">Structure: nav (Install active) → header ("Live in about ten minutes.") → four numbered step cards → a labeled code panel showing the literal install snippet → a closing CTA → footer card.</w:t>
      </w:r>
    </w:p>
    <w:p>
      <w:pPr>
        <w:pStyle w:val="ListParagraph"/>
        <w:numPr>
          <w:ilvl w:val="0"/>
          <w:numId w:val="2"/>
        </w:numPr>
        <w:spacing w:after="60"/>
      </w:pPr>
      <w:r>
        <w:t xml:space="preserve">Step 1 — Create an account (free, no card).</w:t>
      </w:r>
    </w:p>
    <w:p>
      <w:pPr>
        <w:pStyle w:val="ListParagraph"/>
        <w:numPr>
          <w:ilvl w:val="0"/>
          <w:numId w:val="2"/>
        </w:numPr>
        <w:spacing w:after="60"/>
      </w:pPr>
      <w:r>
        <w:t xml:space="preserve">Step 2 — Paste one line of script into the site's HTML.</w:t>
      </w:r>
    </w:p>
    <w:p>
      <w:pPr>
        <w:pStyle w:val="ListParagraph"/>
        <w:numPr>
          <w:ilvl w:val="0"/>
          <w:numId w:val="2"/>
        </w:numPr>
        <w:spacing w:after="60"/>
      </w:pPr>
      <w:r>
        <w:t xml:space="preserve">Step 3 — Add your own help content (FAQs, policies, articles) — the widget answers only from what it's given.</w:t>
      </w:r>
    </w:p>
    <w:p>
      <w:pPr>
        <w:pStyle w:val="ListParagraph"/>
        <w:numPr>
          <w:ilvl w:val="0"/>
          <w:numId w:val="2"/>
        </w:numPr>
        <w:spacing w:after="60"/>
      </w:pPr>
      <w:r>
        <w:t xml:space="preserve">Step 4 — Publish; visitors can start asking questions immediately.</w:t>
      </w:r>
    </w:p>
    <w:p>
      <w:pPr>
        <w:spacing w:after="200"/>
      </w:pPr>
    </w:p>
    <w:p>
      <w:pPr>
        <w:spacing w:after="160"/>
      </w:pPr>
      <w:r>
        <w:rPr>
          <w:b/>
          <w:bCs/>
        </w:rPr>
        <w:t xml:space="preserve">Install snippet: </w:t>
      </w:r>
      <w:r>
        <w:rPr>
          <w:rFonts w:ascii="Courier New" w:cs="Courier New" w:eastAsia="Courier New" w:hAnsi="Courier New"/>
          <w:sz w:val="20"/>
          <w:szCs w:val="20"/>
        </w:rPr>
        <w:t xml:space="preserve">&lt;script src="https://cdn.receptio.ai/widget.js" data-business="your-business-id" async&gt;&lt;/script&gt;</w:t>
      </w:r>
    </w:p>
    <w:p>
      <w:pPr>
        <w:spacing w:after="160"/>
      </w:pPr>
      <w:r>
        <w:t xml:space="preserve">Closing CTA repeats the free-tier offer ("50 conversations a month, no card required") without adding any new claim or urgency language.</w:t>
      </w:r>
    </w:p>
    <w:p>
      <w:pPr>
        <w:pStyle w:val="Heading1"/>
        <w:spacing w:after="160" w:before="320"/>
      </w:pPr>
      <w:r>
        <w:t xml:space="preserve">4. File manifest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132A25" w:val="clear"/>
            <w:tcMar>
              <w:top w:type="dxa" w:w="80"/>
              <w:left w:type="dxa" w:w="100"/>
              <w:bottom w:type="dxa" w:w="80"/>
              <w:right w:type="dxa" w:w="100"/>
            </w:tcMar>
          </w:tcPr>
          <w:p>
            <w:r>
              <w:rPr>
                <w:b/>
                <w:bCs/>
                <w:color w:val="FFFFFF"/>
              </w:rPr>
              <w:t xml:space="preserve">File</w:t>
            </w:r>
          </w:p>
        </w:tc>
        <w:tc>
          <w:tcPr>
            <w:tcW w:type="dxa" w:w="6100"/>
            <w:shd w:fill="132A25" w:val="clear"/>
            <w:tcMar>
              <w:top w:type="dxa" w:w="80"/>
              <w:left w:type="dxa" w:w="100"/>
              <w:bottom w:type="dxa" w:w="80"/>
              <w:right w:type="dxa" w:w="100"/>
            </w:tcMar>
          </w:tcPr>
          <w:p>
            <w:r>
              <w:rPr>
                <w:b/>
                <w:bCs/>
                <w:color w:val="FFFFFF"/>
              </w:rPr>
              <w:t xml:space="preserve">Description</w:t>
            </w:r>
          </w:p>
        </w:tc>
      </w:tr>
      <w:tr>
        <w:tc>
          <w:tcPr>
            <w:tcW w:type="dxa" w:w="3400"/>
            <w:tcMar>
              <w:top w:type="dxa" w:w="80"/>
              <w:left w:type="dxa" w:w="100"/>
              <w:bottom w:type="dxa" w:w="80"/>
              <w:right w:type="dxa" w:w="100"/>
            </w:tcMar>
          </w:tcPr>
          <w:p>
            <w:r>
              <w:t xml:space="preserve">site/index.html</w:t>
            </w:r>
          </w:p>
        </w:tc>
        <w:tc>
          <w:tcPr>
            <w:tcW w:type="dxa" w:w="6100"/>
            <w:tcMar>
              <w:top w:type="dxa" w:w="80"/>
              <w:left w:type="dxa" w:w="100"/>
              <w:bottom w:type="dxa" w:w="80"/>
              <w:right w:type="dxa" w:w="100"/>
            </w:tcMar>
          </w:tcPr>
          <w:p>
            <w:r>
              <w:t xml:space="preserve">Home page — standalone, no build step or external runtime required.</w:t>
            </w:r>
          </w:p>
        </w:tc>
      </w:tr>
      <w:tr>
        <w:tc>
          <w:tcPr>
            <w:tcW w:type="dxa" w:w="3400"/>
            <w:tcMar>
              <w:top w:type="dxa" w:w="80"/>
              <w:left w:type="dxa" w:w="100"/>
              <w:bottom w:type="dxa" w:w="80"/>
              <w:right w:type="dxa" w:w="100"/>
            </w:tcMar>
          </w:tcPr>
          <w:p>
            <w:r>
              <w:t xml:space="preserve">site/pricing.html</w:t>
            </w:r>
          </w:p>
        </w:tc>
        <w:tc>
          <w:tcPr>
            <w:tcW w:type="dxa" w:w="6100"/>
            <w:tcMar>
              <w:top w:type="dxa" w:w="80"/>
              <w:left w:type="dxa" w:w="100"/>
              <w:bottom w:type="dxa" w:w="80"/>
              <w:right w:type="dxa" w:w="100"/>
            </w:tcMar>
          </w:tcPr>
          <w:p>
            <w:r>
              <w:t xml:space="preserve">Pricing page.</w:t>
            </w:r>
          </w:p>
        </w:tc>
      </w:tr>
      <w:tr>
        <w:tc>
          <w:tcPr>
            <w:tcW w:type="dxa" w:w="3400"/>
            <w:tcMar>
              <w:top w:type="dxa" w:w="80"/>
              <w:left w:type="dxa" w:w="100"/>
              <w:bottom w:type="dxa" w:w="80"/>
              <w:right w:type="dxa" w:w="100"/>
            </w:tcMar>
          </w:tcPr>
          <w:p>
            <w:r>
              <w:t xml:space="preserve">site/install.html</w:t>
            </w:r>
          </w:p>
        </w:tc>
        <w:tc>
          <w:tcPr>
            <w:tcW w:type="dxa" w:w="6100"/>
            <w:tcMar>
              <w:top w:type="dxa" w:w="80"/>
              <w:left w:type="dxa" w:w="100"/>
              <w:bottom w:type="dxa" w:w="80"/>
              <w:right w:type="dxa" w:w="100"/>
            </w:tcMar>
          </w:tcPr>
          <w:p>
            <w:r>
              <w:t xml:space="preserve">Install / get-started page.</w:t>
            </w:r>
          </w:p>
        </w:tc>
      </w:tr>
      <w:tr>
        <w:tc>
          <w:tcPr>
            <w:tcW w:type="dxa" w:w="3400"/>
            <w:tcMar>
              <w:top w:type="dxa" w:w="80"/>
              <w:left w:type="dxa" w:w="100"/>
              <w:bottom w:type="dxa" w:w="80"/>
              <w:right w:type="dxa" w:w="100"/>
            </w:tcMar>
          </w:tcPr>
          <w:p>
            <w:r>
              <w:t xml:space="preserve">ReceptIO-Design-Handoff.docx</w:t>
            </w:r>
          </w:p>
        </w:tc>
        <w:tc>
          <w:tcPr>
            <w:tcW w:type="dxa" w:w="6100"/>
            <w:tcMar>
              <w:top w:type="dxa" w:w="80"/>
              <w:left w:type="dxa" w:w="100"/>
              <w:bottom w:type="dxa" w:w="80"/>
              <w:right w:type="dxa" w:w="100"/>
            </w:tcMar>
          </w:tcPr>
          <w:p>
            <w:r>
              <w:t xml:space="preserve">This document.</w:t>
            </w:r>
          </w:p>
        </w:tc>
      </w:tr>
    </w:tbl>
    <w:p>
      <w:pPr>
        <w:spacing w:after="200"/>
      </w:pPr>
    </w:p>
    <w:p>
      <w:pPr>
        <w:spacing w:after="160"/>
      </w:pPr>
      <w:r>
        <w:t xml:space="preserve">All three HTML files are fully self-contained aside from one Google Fonts stylesheet request (Manrope). They link to each other by relative filename (index.html / pricing.html / install.html) and can be opened directly in a browser or dropped into any static host.</w:t>
      </w:r>
    </w:p>
    <w:p>
      <w:pPr>
        <w:pStyle w:val="Heading1"/>
        <w:spacing w:after="160" w:before="320"/>
      </w:pPr>
      <w:r>
        <w:t xml:space="preserve">5. Accessibility &amp; contrast notes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1700"/>
        <w:gridCol w:w="1700"/>
      </w:tblGrid>
      <w:tr>
        <w:trPr>
          <w:tblHeader/>
        </w:trPr>
        <w:tc>
          <w:tcPr>
            <w:tcW w:type="dxa" w:w="3200"/>
            <w:shd w:fill="132A25" w:val="clear"/>
            <w:tcMar>
              <w:top w:type="dxa" w:w="80"/>
              <w:left w:type="dxa" w:w="100"/>
              <w:bottom w:type="dxa" w:w="80"/>
              <w:right w:type="dxa" w:w="100"/>
            </w:tcMar>
          </w:tcPr>
          <w:p>
            <w:r>
              <w:rPr>
                <w:b/>
                <w:bCs/>
                <w:color w:val="FFFFFF"/>
              </w:rPr>
              <w:t xml:space="preserve">Foreground</w:t>
            </w:r>
          </w:p>
        </w:tc>
        <w:tc>
          <w:tcPr>
            <w:tcW w:type="dxa" w:w="2900"/>
            <w:shd w:fill="132A25" w:val="clear"/>
            <w:tcMar>
              <w:top w:type="dxa" w:w="80"/>
              <w:left w:type="dxa" w:w="100"/>
              <w:bottom w:type="dxa" w:w="80"/>
              <w:right w:type="dxa" w:w="100"/>
            </w:tcMar>
          </w:tcPr>
          <w:p>
            <w:r>
              <w:rPr>
                <w:b/>
                <w:bCs/>
                <w:color w:val="FFFFFF"/>
              </w:rPr>
              <w:t xml:space="preserve">Background</w:t>
            </w:r>
          </w:p>
        </w:tc>
        <w:tc>
          <w:tcPr>
            <w:tcW w:type="dxa" w:w="1700"/>
            <w:shd w:fill="132A25" w:val="clear"/>
            <w:tcMar>
              <w:top w:type="dxa" w:w="80"/>
              <w:left w:type="dxa" w:w="100"/>
              <w:bottom w:type="dxa" w:w="80"/>
              <w:right w:type="dxa" w:w="100"/>
            </w:tcMar>
          </w:tcPr>
          <w:p>
            <w:r>
              <w:rPr>
                <w:b/>
                <w:bCs/>
                <w:color w:val="FFFFFF"/>
              </w:rPr>
              <w:t xml:space="preserve">Approx. ratio</w:t>
            </w:r>
          </w:p>
        </w:tc>
        <w:tc>
          <w:tcPr>
            <w:tcW w:type="dxa" w:w="1700"/>
            <w:shd w:fill="132A25" w:val="clear"/>
            <w:tcMar>
              <w:top w:type="dxa" w:w="80"/>
              <w:left w:type="dxa" w:w="100"/>
              <w:bottom w:type="dxa" w:w="80"/>
              <w:right w:type="dxa" w:w="100"/>
            </w:tcMar>
          </w:tcPr>
          <w:p>
            <w:r>
              <w:rPr>
                <w:b/>
                <w:bCs/>
                <w:color w:val="FFFFFF"/>
              </w:rPr>
              <w:t xml:space="preserve">Passes</w:t>
            </w:r>
          </w:p>
        </w:tc>
      </w:tr>
      <w:tr>
        <w:tc>
          <w:tcPr>
            <w:tcW w:type="dxa" w:w="3200"/>
            <w:tcMar>
              <w:top w:type="dxa" w:w="80"/>
              <w:left w:type="dxa" w:w="100"/>
              <w:bottom w:type="dxa" w:w="80"/>
              <w:right w:type="dxa" w:w="100"/>
            </w:tcMar>
          </w:tcPr>
          <w:p>
            <w:r>
              <w:t xml:space="preserve">#f2fdfb (primary text)</w:t>
            </w:r>
          </w:p>
        </w:tc>
        <w:tc>
          <w:tcPr>
            <w:tcW w:type="dxa" w:w="2900"/>
            <w:tcMar>
              <w:top w:type="dxa" w:w="80"/>
              <w:left w:type="dxa" w:w="100"/>
              <w:bottom w:type="dxa" w:w="80"/>
              <w:right w:type="dxa" w:w="100"/>
            </w:tcMar>
          </w:tcPr>
          <w:p>
            <w:r>
              <w:t xml:space="preserve">#0a1615 / #12241f / #0f211d</w:t>
            </w:r>
          </w:p>
        </w:tc>
        <w:tc>
          <w:tcPr>
            <w:tcW w:type="dxa" w:w="1700"/>
            <w:tcMar>
              <w:top w:type="dxa" w:w="80"/>
              <w:left w:type="dxa" w:w="100"/>
              <w:bottom w:type="dxa" w:w="80"/>
              <w:right w:type="dxa" w:w="100"/>
            </w:tcMar>
          </w:tcPr>
          <w:p>
            <w:r>
              <w:t xml:space="preserve">≈15:1</w:t>
            </w:r>
          </w:p>
        </w:tc>
        <w:tc>
          <w:tcPr>
            <w:tcW w:type="dxa" w:w="1700"/>
            <w:tcMar>
              <w:top w:type="dxa" w:w="80"/>
              <w:left w:type="dxa" w:w="100"/>
              <w:bottom w:type="dxa" w:w="80"/>
              <w:right w:type="dxa" w:w="100"/>
            </w:tcMar>
          </w:tcPr>
          <w:p>
            <w:r>
              <w:t xml:space="preserve">Yes — normal text</w:t>
            </w:r>
          </w:p>
        </w:tc>
      </w:tr>
      <w:tr>
        <w:tc>
          <w:tcPr>
            <w:tcW w:type="dxa" w:w="3200"/>
            <w:tcMar>
              <w:top w:type="dxa" w:w="80"/>
              <w:left w:type="dxa" w:w="100"/>
              <w:bottom w:type="dxa" w:w="80"/>
              <w:right w:type="dxa" w:w="100"/>
            </w:tcMar>
          </w:tcPr>
          <w:p>
            <w:r>
              <w:t xml:space="preserve">#a9c4be (secondary text)</w:t>
            </w:r>
          </w:p>
        </w:tc>
        <w:tc>
          <w:tcPr>
            <w:tcW w:type="dxa" w:w="2900"/>
            <w:tcMar>
              <w:top w:type="dxa" w:w="80"/>
              <w:left w:type="dxa" w:w="100"/>
              <w:bottom w:type="dxa" w:w="80"/>
              <w:right w:type="dxa" w:w="100"/>
            </w:tcMar>
          </w:tcPr>
          <w:p>
            <w:r>
              <w:t xml:space="preserve">#0a1615 / #12241f</w:t>
            </w:r>
          </w:p>
        </w:tc>
        <w:tc>
          <w:tcPr>
            <w:tcW w:type="dxa" w:w="1700"/>
            <w:tcMar>
              <w:top w:type="dxa" w:w="80"/>
              <w:left w:type="dxa" w:w="100"/>
              <w:bottom w:type="dxa" w:w="80"/>
              <w:right w:type="dxa" w:w="100"/>
            </w:tcMar>
          </w:tcPr>
          <w:p>
            <w:r>
              <w:t xml:space="preserve">≈8:1</w:t>
            </w:r>
          </w:p>
        </w:tc>
        <w:tc>
          <w:tcPr>
            <w:tcW w:type="dxa" w:w="1700"/>
            <w:tcMar>
              <w:top w:type="dxa" w:w="80"/>
              <w:left w:type="dxa" w:w="100"/>
              <w:bottom w:type="dxa" w:w="80"/>
              <w:right w:type="dxa" w:w="100"/>
            </w:tcMar>
          </w:tcPr>
          <w:p>
            <w:r>
              <w:t xml:space="preserve">Yes — normal text</w:t>
            </w:r>
          </w:p>
        </w:tc>
      </w:tr>
      <w:tr>
        <w:tc>
          <w:tcPr>
            <w:tcW w:type="dxa" w:w="3200"/>
            <w:tcMar>
              <w:top w:type="dxa" w:w="80"/>
              <w:left w:type="dxa" w:w="100"/>
              <w:bottom w:type="dxa" w:w="80"/>
              <w:right w:type="dxa" w:w="100"/>
            </w:tcMar>
          </w:tcPr>
          <w:p>
            <w:r>
              <w:t xml:space="preserve">#2dd4bf (accent text/icons)</w:t>
            </w:r>
          </w:p>
        </w:tc>
        <w:tc>
          <w:tcPr>
            <w:tcW w:type="dxa" w:w="2900"/>
            <w:tcMar>
              <w:top w:type="dxa" w:w="80"/>
              <w:left w:type="dxa" w:w="100"/>
              <w:bottom w:type="dxa" w:w="80"/>
              <w:right w:type="dxa" w:w="100"/>
            </w:tcMar>
          </w:tcPr>
          <w:p>
            <w:r>
              <w:t xml:space="preserve">#0a1615 dark backgrounds</w:t>
            </w:r>
          </w:p>
        </w:tc>
        <w:tc>
          <w:tcPr>
            <w:tcW w:type="dxa" w:w="1700"/>
            <w:tcMar>
              <w:top w:type="dxa" w:w="80"/>
              <w:left w:type="dxa" w:w="100"/>
              <w:bottom w:type="dxa" w:w="80"/>
              <w:right w:type="dxa" w:w="100"/>
            </w:tcMar>
          </w:tcPr>
          <w:p>
            <w:r>
              <w:t xml:space="preserve">≈10.4:1</w:t>
            </w:r>
          </w:p>
        </w:tc>
        <w:tc>
          <w:tcPr>
            <w:tcW w:type="dxa" w:w="1700"/>
            <w:tcMar>
              <w:top w:type="dxa" w:w="80"/>
              <w:left w:type="dxa" w:w="100"/>
              <w:bottom w:type="dxa" w:w="80"/>
              <w:right w:type="dxa" w:w="100"/>
            </w:tcMar>
          </w:tcPr>
          <w:p>
            <w:r>
              <w:t xml:space="preserve">Yes — normal text</w:t>
            </w:r>
          </w:p>
        </w:tc>
      </w:tr>
      <w:tr>
        <w:tc>
          <w:tcPr>
            <w:tcW w:type="dxa" w:w="3200"/>
            <w:tcMar>
              <w:top w:type="dxa" w:w="80"/>
              <w:left w:type="dxa" w:w="100"/>
              <w:bottom w:type="dxa" w:w="80"/>
              <w:right w:type="dxa" w:w="100"/>
            </w:tcMar>
          </w:tcPr>
          <w:p>
            <w:r>
              <w:t xml:space="preserve">#06211d (on-fill text)</w:t>
            </w:r>
          </w:p>
        </w:tc>
        <w:tc>
          <w:tcPr>
            <w:tcW w:type="dxa" w:w="2900"/>
            <w:tcMar>
              <w:top w:type="dxa" w:w="80"/>
              <w:left w:type="dxa" w:w="100"/>
              <w:bottom w:type="dxa" w:w="80"/>
              <w:right w:type="dxa" w:w="100"/>
            </w:tcMar>
          </w:tcPr>
          <w:p>
            <w:r>
              <w:t xml:space="preserve">#2dd4bf accent fill</w:t>
            </w:r>
          </w:p>
        </w:tc>
        <w:tc>
          <w:tcPr>
            <w:tcW w:type="dxa" w:w="1700"/>
            <w:tcMar>
              <w:top w:type="dxa" w:w="80"/>
              <w:left w:type="dxa" w:w="100"/>
              <w:bottom w:type="dxa" w:w="80"/>
              <w:right w:type="dxa" w:w="100"/>
            </w:tcMar>
          </w:tcPr>
          <w:p>
            <w:r>
              <w:t xml:space="preserve">≈9.8:1</w:t>
            </w:r>
          </w:p>
        </w:tc>
        <w:tc>
          <w:tcPr>
            <w:tcW w:type="dxa" w:w="1700"/>
            <w:tcMar>
              <w:top w:type="dxa" w:w="80"/>
              <w:left w:type="dxa" w:w="100"/>
              <w:bottom w:type="dxa" w:w="80"/>
              <w:right w:type="dxa" w:w="100"/>
            </w:tcMar>
          </w:tcPr>
          <w:p>
            <w:r>
              <w:t xml:space="preserve">Yes — normal text</w:t>
            </w:r>
          </w:p>
        </w:tc>
      </w:tr>
      <w:tr>
        <w:tc>
          <w:tcPr>
            <w:tcW w:type="dxa" w:w="3200"/>
            <w:tcMar>
              <w:top w:type="dxa" w:w="80"/>
              <w:left w:type="dxa" w:w="100"/>
              <w:bottom w:type="dxa" w:w="80"/>
              <w:right w:type="dxa" w:w="100"/>
            </w:tcMar>
          </w:tcPr>
          <w:p>
            <w:r>
              <w:t xml:space="preserve">White text (avoided)</w:t>
            </w:r>
          </w:p>
        </w:tc>
        <w:tc>
          <w:tcPr>
            <w:tcW w:type="dxa" w:w="2900"/>
            <w:tcMar>
              <w:top w:type="dxa" w:w="80"/>
              <w:left w:type="dxa" w:w="100"/>
              <w:bottom w:type="dxa" w:w="80"/>
              <w:right w:type="dxa" w:w="100"/>
            </w:tcMar>
          </w:tcPr>
          <w:p>
            <w:r>
              <w:t xml:space="preserve">#2dd4bf accent fill</w:t>
            </w:r>
          </w:p>
        </w:tc>
        <w:tc>
          <w:tcPr>
            <w:tcW w:type="dxa" w:w="1700"/>
            <w:tcMar>
              <w:top w:type="dxa" w:w="80"/>
              <w:left w:type="dxa" w:w="100"/>
              <w:bottom w:type="dxa" w:w="80"/>
              <w:right w:type="dxa" w:w="100"/>
            </w:tcMar>
          </w:tcPr>
          <w:p>
            <w:r>
              <w:t xml:space="preserve">≈2.5:1</w:t>
            </w:r>
          </w:p>
        </w:tc>
        <w:tc>
          <w:tcPr>
            <w:tcW w:type="dxa" w:w="1700"/>
            <w:tcMar>
              <w:top w:type="dxa" w:w="80"/>
              <w:left w:type="dxa" w:w="100"/>
              <w:bottom w:type="dxa" w:w="80"/>
              <w:right w:type="dxa" w:w="100"/>
            </w:tcMar>
          </w:tcPr>
          <w:p>
            <w:r>
              <w:t xml:space="preserve">No — not used anywhere</w:t>
            </w:r>
          </w:p>
        </w:tc>
      </w:tr>
    </w:tbl>
    <w:p>
      <w:pPr>
        <w:spacing w:after="200"/>
      </w:pPr>
    </w:p>
    <w:p>
      <w:pPr>
        <w:spacing w:after="160"/>
      </w:pPr>
      <w:r>
        <w:t xml:space="preserve">Rule applied throughout: any element with the bold accent as a solid background fill (buttons, badges, the outbound chat bubble, icon squares) uses the dark #06211d text/icon color, never white. The accent is used as a foreground color only when the background is one of the dark page tones.</w:t>
      </w:r>
    </w:p>
    <w:p>
      <w:pPr>
        <w:pStyle w:val="Heading1"/>
        <w:spacing w:after="160" w:before="320"/>
      </w:pPr>
      <w:r>
        <w:t xml:space="preserve">6. Known limitations &amp; next steps</w:t>
      </w:r>
    </w:p>
    <w:p>
      <w:pPr>
        <w:pStyle w:val="ListParagraph"/>
        <w:numPr>
          <w:ilvl w:val="0"/>
          <w:numId w:val="2"/>
        </w:numPr>
        <w:spacing w:after="60"/>
      </w:pPr>
      <w:r>
        <w:t xml:space="preserve">This export is a fixed 1440px desktop-width reference. It is not yet responsive for tablet or mobile breakpoints.</w:t>
      </w:r>
    </w:p>
    <w:p>
      <w:pPr>
        <w:pStyle w:val="ListParagraph"/>
        <w:numPr>
          <w:ilvl w:val="0"/>
          <w:numId w:val="2"/>
        </w:numPr>
        <w:spacing w:after="60"/>
      </w:pPr>
      <w:r>
        <w:t xml:space="preserve">The accent color (#2dd4bf) is set inline throughout; a future implementation should promote it to a single CSS custom property for one-line theming.</w:t>
      </w:r>
    </w:p>
    <w:p>
      <w:pPr>
        <w:pStyle w:val="ListParagraph"/>
        <w:numPr>
          <w:ilvl w:val="0"/>
          <w:numId w:val="2"/>
        </w:numPr>
        <w:spacing w:after="60"/>
      </w:pPr>
      <w:r>
        <w:t xml:space="preserve">The Home page's chip/answer interaction is intentionally minimal (three canned states) to demonstrate the honest-refusal behavior — production content should be wired to the real help-content-only answer engine.</w:t>
      </w:r>
    </w:p>
    <w:p>
      <w:pPr>
        <w:pStyle w:val="ListParagraph"/>
        <w:numPr>
          <w:ilvl w:val="0"/>
          <w:numId w:val="2"/>
        </w:numPr>
        <w:spacing w:after="60"/>
      </w:pPr>
      <w:r>
        <w:t xml:space="preserve">No analytics, forms, or backend integrations are wired up; CTAs are placeholder anchors pointing at the site's own pages.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0F766E"/>
      <w:sz w:val="32"/>
      <w:szCs w:val="32"/>
    </w:rPr>
  </w:style>
  <w:style w:type="paragraph" w:styleId="Heading2">
    <w:name w:val="Heading 2"/>
    <w:basedOn w:val="Normal"/>
    <w:next w:val="Normal"/>
    <w:qFormat/>
    <w:rPr>
      <w:b/>
      <w:bCs/>
      <w:color w:val="134E4A"/>
      <w:sz w:val="26"/>
      <w:szCs w:val="26"/>
    </w:rPr>
  </w:style>
  <w:style w:type="paragraph" w:styleId="Heading3">
    <w:name w:val="Heading 3"/>
    <w:basedOn w:val="Normal"/>
    <w:next w:val="Normal"/>
    <w:qFormat/>
    <w:rPr>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2026-09-20T00:18:59.128Z</dcterms:created>
  <dcterms:modified xsi:type="dcterms:W3CDTF">2026-09-20T00:18:59.139Z</dcterms:modified>
</cp:coreProperties>
</file>

<file path=docProps/custom.xml><?xml version="1.0" encoding="utf-8"?>
<Properties xmlns="http://schemas.openxmlformats.org/officeDocument/2006/custom-properties" xmlns:vt="http://schemas.openxmlformats.org/officeDocument/2006/docPropsVTypes"/>
</file>