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Executive Summary:</w:t>
      </w:r>
    </w:p>
    <w:p w:rsidR="00000000" w:rsidDel="00000000" w:rsidP="00000000" w:rsidRDefault="00000000" w:rsidRPr="00000000" w14:paraId="0000000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 of all foreign giving to U.S. institutions, Qatar gives the most money overall ($2.7 billion), England initiates the most individual gifts (3,655), and Carnegie Mellon University receives the most total money ($1.48 billion, although largely due to a single gift). The University of Virginia currently receives just $22.2 million in foreign gifts, ranking 101 out of 318 institutions, and holding only 0.134% of the national market. This is behind peer institutions such as Georgetown, Michigan, and UCLA. The countries that donate to UVA are different from the national pattern, with almost none of them listing in the countries that dominate national totals. We recommend UVA start reaching out to more of the countries that give the most nationally, specifically Qatar, China, and Saudi Arabia. </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Summary of Findings: </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Qatar gives the most money total ($2.7 billion), despite England initiating the most individual gifts and far more than Qatar (3,655 vs 693). This shows that Qatar’s giving comes from a smaller number of very large gifts, while England’s giving is frequent and to more countries. On average, Bermuda, Ecuador, and Qatar give the largest individual gifts, though Ecuador’s average is based on a handful of gifts compared to the other two countries. </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schools receiving gifts, Carnegie Mellon University received the most money overall ($1.48 billion), while UCLA received the most individual gifts (3,916). This shows the variety in gifts, some schools receiving fewer but larger, and some receiving more but for less amounts. Furthermore, the average gift was $588,233, which is much greater than the median of $94,615. The single largest donation amount from one country to an institution was Qatar to Cornell University, totaling just over $1 billion. By number of gifts, the top giftors are Saudi Arabian Cultural Mission, the Human Frontier Science Program, and the Qatar Foundation. </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Looking at UVA, UVA has received $22.2 million in foreign gifts across 98 transactions, ranking 101 out of 318 institutions. UVA also holds 0.134% of the national market. Compared to peer institutions (Georgetown $380M, Berkeley $294M , Michigan $287M, and UCLA $242M), UVA’s foreign giving is a small fraction of what they receive. UVA’s current donor countries (Bangladesh, Sweden, Tanzania, and England to name a few), are not quite the highest paying countries. In fact, UVA has recorded zero gifts from 12 of the top 20 national donor countries, including the three largest: Qatar, China, and Saudi Arabia. </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Strategy for New Sources of Foreign Money </w:t>
      </w:r>
    </w:p>
    <w:p w:rsidR="00000000" w:rsidDel="00000000" w:rsidP="00000000" w:rsidRDefault="00000000" w:rsidRPr="00000000" w14:paraId="00000010">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UVA to increase its money flow, UVA should pursue more transactions with countries that have already proven themselves to give a lot, in addition to their current donors. Their current donors donate frequently and in smaller amounts, so some large gifts could really increase revenue. Peer countries have really benefited from not only a top donor in Qatar (Georgetown, Michigan, and UCLA), but also from countries like England , Japan, and China. Pursuing these countries, in addition to other top donors such as Saudi Arabia or Canada would lead to receiving more large gifts. China and Saudi Arabia may be good ones to target, since they both gave to over 150 institutions. This shows that they have a broad list of institutions they are willing to give to. Qatar will be harder to receive from, considering they have only given to 41 institutions, however their large gifts show that it would be worth it. </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Conclusion</w:t>
      </w:r>
    </w:p>
    <w:p w:rsidR="00000000" w:rsidDel="00000000" w:rsidP="00000000" w:rsidRDefault="00000000" w:rsidRPr="00000000" w14:paraId="00000015">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UVA’s foreign giving is small when compared to the national market and its peer institutions. Since this is a matter of lack of connections and relationships rather than lack of demand, we believe UVA’s foreign giving can be improved. By engaging in talks with Saudi Arabia and Qatar, UVA can score some high profile partners to provide larger gifts and expand its foreign giving.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