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FC" w:rsidRDefault="00C91AFC" w:rsidP="00C91AFC">
      <w:pPr>
        <w:spacing w:line="360" w:lineRule="auto"/>
        <w:jc w:val="center"/>
        <w:rPr>
          <w:rFonts w:ascii="黑体" w:eastAsia="黑体" w:hAnsi="宋体"/>
          <w:bCs/>
          <w:spacing w:val="-14"/>
          <w:kern w:val="13"/>
          <w:sz w:val="32"/>
          <w:szCs w:val="32"/>
        </w:rPr>
      </w:pPr>
      <w:bookmarkStart w:id="0" w:name="_GoBack"/>
      <w:bookmarkEnd w:id="0"/>
      <w:r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 w:rsidR="00C91AFC" w:rsidRDefault="00C91AFC" w:rsidP="00C91AFC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C91AFC" w:rsidRDefault="00C91AFC" w:rsidP="00C91AF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一、排版要求</w:t>
      </w:r>
    </w:p>
    <w:p w:rsidR="00C91AFC" w:rsidRDefault="00C91AFC" w:rsidP="00C91AFC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r>
        <w:rPr>
          <w:rFonts w:ascii="黑体" w:eastAsia="黑体" w:hAnsi="宋体" w:hint="eastAsia"/>
          <w:spacing w:val="20"/>
          <w:sz w:val="32"/>
          <w:szCs w:val="32"/>
        </w:rPr>
        <w:t>目  录</w:t>
      </w:r>
    </w:p>
    <w:p w:rsidR="00C91AFC" w:rsidRDefault="00C91AFC" w:rsidP="00C91AFC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(</w:t>
      </w:r>
      <w:r>
        <w:rPr>
          <w:rFonts w:ascii="黑体" w:eastAsia="黑体" w:hint="eastAsia"/>
          <w:bCs/>
          <w:sz w:val="32"/>
          <w:szCs w:val="32"/>
        </w:rPr>
        <w:t>居中、黑体、三号，“目”与“录”字中间留一个汉字空格)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1</w:t>
      </w:r>
      <w:r w:rsidRPr="00147084">
        <w:rPr>
          <w:rFonts w:ascii="黑体" w:eastAsia="黑体" w:hint="eastAsia"/>
          <w:bCs/>
          <w:sz w:val="28"/>
          <w:szCs w:val="28"/>
        </w:rPr>
        <w:t>（或一）</w:t>
      </w:r>
      <w:r>
        <w:rPr>
          <w:rFonts w:ascii="黑体" w:eastAsia="黑体" w:hint="eastAsia"/>
          <w:bCs/>
          <w:sz w:val="28"/>
          <w:szCs w:val="28"/>
        </w:rPr>
        <w:t xml:space="preserve">  </w:t>
      </w:r>
      <w:proofErr w:type="spellStart"/>
      <w:r>
        <w:rPr>
          <w:rFonts w:ascii="黑体" w:eastAsia="黑体" w:hAnsi="宋体" w:hint="eastAsia"/>
          <w:sz w:val="28"/>
          <w:szCs w:val="28"/>
        </w:rPr>
        <w:t>xxxx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</w:t>
      </w:r>
    </w:p>
    <w:p w:rsidR="00C91AFC" w:rsidRDefault="00C91AFC" w:rsidP="00C91AFC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1.1（或</w:t>
      </w:r>
      <w:r w:rsidRPr="00147084">
        <w:rPr>
          <w:rFonts w:ascii="宋体" w:hAnsi="宋体" w:hint="eastAsia"/>
          <w:bCs/>
          <w:szCs w:val="21"/>
        </w:rPr>
        <w:t>（</w:t>
      </w:r>
      <w:proofErr w:type="gramStart"/>
      <w:r w:rsidRPr="00147084">
        <w:rPr>
          <w:rFonts w:ascii="宋体" w:hAnsi="宋体" w:hint="eastAsia"/>
          <w:bCs/>
          <w:szCs w:val="21"/>
        </w:rPr>
        <w:t>一</w:t>
      </w:r>
      <w:proofErr w:type="gramEnd"/>
      <w:r w:rsidRPr="00147084">
        <w:rPr>
          <w:rFonts w:ascii="宋体" w:hAnsi="宋体" w:hint="eastAsia"/>
          <w:bCs/>
          <w:szCs w:val="21"/>
        </w:rPr>
        <w:t>））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(右缩两个汉字空格、宋体、五号)……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C91AFC" w:rsidRDefault="00C91AFC" w:rsidP="00C91AFC">
      <w:pPr>
        <w:spacing w:line="30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1.1.1</w:t>
      </w:r>
      <w:r w:rsidRPr="00147084">
        <w:rPr>
          <w:rFonts w:ascii="宋体" w:hAnsi="宋体" w:hint="eastAsia"/>
          <w:bCs/>
          <w:szCs w:val="21"/>
        </w:rPr>
        <w:t>（或1）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(右缩四个汉字空格、宋体、五号)……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……</w:t>
      </w:r>
    </w:p>
    <w:p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参考文献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致谢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（另一页，题目和中文摘要）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:rsidR="00C91AFC" w:rsidRDefault="00C91AFC" w:rsidP="00C91AFC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proofErr w:type="spellStart"/>
      <w:r>
        <w:rPr>
          <w:rFonts w:ascii="黑体" w:eastAsia="黑体" w:hAnsi="宋体" w:hint="eastAsia"/>
          <w:sz w:val="32"/>
          <w:szCs w:val="32"/>
        </w:rPr>
        <w:t>xxxxxxxx</w:t>
      </w:r>
      <w:proofErr w:type="spellEnd"/>
      <w:r>
        <w:rPr>
          <w:rFonts w:ascii="黑体" w:eastAsia="黑体" w:hAnsi="宋体" w:hint="eastAsia"/>
          <w:bCs/>
          <w:sz w:val="32"/>
          <w:szCs w:val="32"/>
        </w:rPr>
        <w:t>(题目，</w:t>
      </w:r>
      <w:r>
        <w:rPr>
          <w:rFonts w:ascii="黑体" w:eastAsia="黑体" w:hint="eastAsia"/>
          <w:bCs/>
          <w:sz w:val="32"/>
          <w:szCs w:val="32"/>
        </w:rPr>
        <w:t>居中、黑体、三号)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XXX</w:t>
      </w:r>
      <w:r>
        <w:rPr>
          <w:rFonts w:ascii="宋体" w:hAnsi="宋体" w:hint="eastAsia"/>
          <w:bCs/>
          <w:sz w:val="28"/>
          <w:szCs w:val="28"/>
        </w:rPr>
        <w:t>(作者姓名，居中、宋体、四号)</w:t>
      </w:r>
    </w:p>
    <w:p w:rsidR="00C91AFC" w:rsidRDefault="00C91AFC" w:rsidP="00C91AFC">
      <w:pPr>
        <w:spacing w:line="300" w:lineRule="auto"/>
        <w:ind w:left="540" w:hangingChars="300" w:hanging="54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南京信息工程大学XX学院，江苏 南京 210044</w:t>
      </w:r>
      <w:r>
        <w:rPr>
          <w:rFonts w:ascii="宋体" w:hAnsi="宋体" w:hint="eastAsia"/>
          <w:bCs/>
          <w:sz w:val="18"/>
          <w:szCs w:val="18"/>
        </w:rPr>
        <w:t>(作者单位，居中、宋体、小五号)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rightChars="200" w:right="420"/>
        <w:rPr>
          <w:rFonts w:ascii="仿宋_GB2312" w:eastAsia="仿宋_GB2312"/>
          <w:b/>
          <w:bCs/>
          <w:szCs w:val="21"/>
        </w:rPr>
      </w:pPr>
      <w:r>
        <w:rPr>
          <w:rFonts w:ascii="黑体" w:eastAsia="黑体" w:hint="eastAsia"/>
          <w:bCs/>
          <w:szCs w:val="21"/>
        </w:rPr>
        <w:t>摘要：（黑体、五号）</w:t>
      </w:r>
      <w:r>
        <w:rPr>
          <w:rFonts w:ascii="仿宋_GB2312" w:eastAsia="仿宋_GB2312" w:hint="eastAsia"/>
          <w:bCs/>
          <w:szCs w:val="21"/>
        </w:rPr>
        <w:t>XXXXXXXXXXXXXXXXXXXXXXXXXXXXXXXX(楷体、五号)</w:t>
      </w:r>
    </w:p>
    <w:p w:rsidR="00C91AFC" w:rsidRDefault="00C91AFC" w:rsidP="00C91AFC">
      <w:pPr>
        <w:spacing w:line="300" w:lineRule="auto"/>
        <w:ind w:rightChars="200" w:right="420"/>
        <w:rPr>
          <w:rFonts w:ascii="仿宋_GB2312" w:eastAsia="仿宋_GB2312"/>
          <w:bCs/>
          <w:szCs w:val="21"/>
        </w:rPr>
      </w:pPr>
      <w:r>
        <w:rPr>
          <w:rFonts w:ascii="黑体" w:eastAsia="黑体" w:hint="eastAsia"/>
          <w:bCs/>
          <w:szCs w:val="21"/>
        </w:rPr>
        <w:t>关键词：（黑体、五号）</w:t>
      </w:r>
      <w:r>
        <w:rPr>
          <w:rFonts w:ascii="仿宋_GB2312" w:eastAsia="仿宋_GB2312" w:hint="eastAsia"/>
          <w:bCs/>
          <w:szCs w:val="21"/>
        </w:rPr>
        <w:t>XX；XX；XX(楷体、五号、3～5个)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（另一页，接英文摘要部分）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:rsidR="00C91AFC" w:rsidRDefault="00C91AFC" w:rsidP="00C91AFC">
      <w:pPr>
        <w:spacing w:line="30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xxxxxxxx</w:t>
      </w:r>
      <w:proofErr w:type="spellEnd"/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</w:t>
      </w:r>
      <w:r>
        <w:rPr>
          <w:b/>
          <w:bCs/>
          <w:sz w:val="32"/>
          <w:szCs w:val="32"/>
        </w:rPr>
        <w:t>Times New Roman</w:t>
      </w:r>
      <w:r>
        <w:rPr>
          <w:b/>
          <w:bCs/>
          <w:sz w:val="32"/>
          <w:szCs w:val="32"/>
        </w:rPr>
        <w:t>、三号加粗</w:t>
      </w:r>
      <w:r>
        <w:rPr>
          <w:b/>
          <w:bCs/>
          <w:sz w:val="32"/>
          <w:szCs w:val="32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（空1行，五号）</w:t>
      </w:r>
    </w:p>
    <w:p w:rsidR="00C91AFC" w:rsidRDefault="00C91AFC" w:rsidP="00C91AFC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Ansi="宋体" w:hint="eastAsia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 w:rsidR="00C91AFC" w:rsidRDefault="00C91AFC" w:rsidP="00C91AFC">
      <w:pPr>
        <w:spacing w:line="300" w:lineRule="auto"/>
        <w:ind w:left="540" w:hangingChars="300" w:hanging="54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Ansi="宋体" w:hint="eastAsia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rightChars="200" w:right="42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</w:t>
      </w:r>
      <w:r>
        <w:rPr>
          <w:rFonts w:eastAsia="黑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Ansi="宋体" w:hint="eastAsia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 w:rsidR="00C91AFC" w:rsidRDefault="00C91AFC" w:rsidP="00C91AFC">
      <w:pPr>
        <w:spacing w:line="300" w:lineRule="auto"/>
        <w:ind w:rightChars="200" w:right="42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（另一页，接正文部分）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一级标题（顶格、黑体、四号</w:t>
      </w:r>
      <w:r>
        <w:rPr>
          <w:rFonts w:ascii="黑体" w:eastAsia="黑体" w:hAnsi="宋体"/>
          <w:bCs/>
          <w:sz w:val="28"/>
          <w:szCs w:val="28"/>
        </w:rPr>
        <w:t>）</w:t>
      </w:r>
    </w:p>
    <w:p w:rsidR="00C91AFC" w:rsidRDefault="00C91AFC" w:rsidP="00C91AFC">
      <w:pPr>
        <w:spacing w:line="300" w:lineRule="auto"/>
        <w:rPr>
          <w:rFonts w:ascii="黑体" w:eastAsia="黑体" w:hAnsi="宋体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二级标题（顶格、黑体、五号</w:t>
      </w:r>
      <w:r>
        <w:rPr>
          <w:rFonts w:ascii="黑体" w:eastAsia="黑体" w:hAnsi="宋体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四级标题（顶格、宋体、五号）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参考文献：（顶格、黑体、四号）</w:t>
      </w:r>
    </w:p>
    <w:p w:rsidR="00C91AFC" w:rsidRDefault="00C91AFC" w:rsidP="00C91AFC">
      <w:pPr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参考文献的具体内容</w:t>
      </w:r>
      <w:r>
        <w:rPr>
          <w:rFonts w:ascii="宋体" w:hAnsi="宋体" w:hint="eastAsia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ascii="宋体" w:hAnsi="宋体" w:hint="eastAsia"/>
          <w:bCs/>
          <w:sz w:val="18"/>
          <w:szCs w:val="18"/>
        </w:rPr>
        <w:t>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（另一页，接致谢部分）</w:t>
      </w:r>
    </w:p>
    <w:p w:rsidR="00C91AFC" w:rsidRDefault="00C91AFC" w:rsidP="00C91AFC">
      <w:pPr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</w:p>
    <w:p w:rsidR="00C91AFC" w:rsidRDefault="00C91AFC" w:rsidP="00C91AFC">
      <w:pPr>
        <w:spacing w:line="300" w:lineRule="auto"/>
        <w:jc w:val="center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致谢（居中、黑体、四号）</w:t>
      </w:r>
    </w:p>
    <w:p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C91AFC" w:rsidRDefault="00C91AFC" w:rsidP="00C91AFC">
      <w:pPr>
        <w:spacing w:line="300" w:lineRule="auto"/>
        <w:ind w:left="630" w:hangingChars="300" w:hanging="63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致谢的具体内容</w:t>
      </w:r>
      <w:r>
        <w:rPr>
          <w:rFonts w:ascii="宋体" w:hAnsi="宋体" w:hint="eastAsia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二、内容要求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Ansi="宋体" w:hint="eastAsia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Ansi="宋体" w:hint="eastAsia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Ansi="宋体" w:hint="eastAsia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Ansi="宋体" w:hint="eastAsia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Ansi="宋体" w:hint="eastAsia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Ansi="宋体" w:hint="eastAsia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Ansi="宋体" w:hint="eastAsia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Ansi="宋体" w:hint="eastAsia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Ansi="宋体" w:hint="eastAsia"/>
          <w:sz w:val="24"/>
        </w:rPr>
        <w:t>研究对象、研究方法、结果和讨论几部分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sz w:val="24"/>
        </w:rPr>
        <w:lastRenderedPageBreak/>
        <w:t>5</w:t>
      </w:r>
      <w:r>
        <w:rPr>
          <w:rFonts w:hAnsi="宋体"/>
          <w:sz w:val="24"/>
        </w:rPr>
        <w:t>、结论：</w:t>
      </w:r>
      <w:r>
        <w:rPr>
          <w:rFonts w:hAnsi="宋体" w:hint="eastAsia"/>
          <w:sz w:val="24"/>
        </w:rPr>
        <w:t>是毕业论文（设计）的最后总结，其内容应当完整、准确、精炼。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、讨论：应是由结论推广而来的，其段落通常位于结论之后。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篇且原则上不少于总参考文献的</w:t>
      </w:r>
      <w:r>
        <w:rPr>
          <w:rFonts w:hint="eastAsia"/>
          <w:sz w:val="24"/>
        </w:rPr>
        <w:t>1/5</w:t>
      </w:r>
      <w:r>
        <w:rPr>
          <w:rFonts w:hint="eastAsia"/>
          <w:sz w:val="24"/>
        </w:rPr>
        <w:t>。近五年文献原则上不少于总参考文献的</w:t>
      </w:r>
      <w:r>
        <w:rPr>
          <w:rFonts w:hint="eastAsia"/>
          <w:sz w:val="24"/>
        </w:rPr>
        <w:t>1/4</w:t>
      </w:r>
      <w:r>
        <w:rPr>
          <w:rFonts w:hint="eastAsia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根据《</w:t>
      </w:r>
      <w:r>
        <w:rPr>
          <w:rFonts w:hint="eastAsia"/>
          <w:sz w:val="24"/>
        </w:rPr>
        <w:t>GB/T 7714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2005 </w:t>
      </w:r>
      <w:r>
        <w:rPr>
          <w:rFonts w:hint="eastAsia"/>
          <w:sz w:val="24"/>
        </w:rPr>
        <w:t>文后参考文献著录规则》，参考文献采用如下规范的著录格式：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9F0887">
        <w:rPr>
          <w:sz w:val="24"/>
        </w:rPr>
        <w:t>期刊</w:t>
      </w:r>
      <w:r w:rsidRPr="009F0887">
        <w:rPr>
          <w:rFonts w:hint="eastAsia"/>
          <w:sz w:val="24"/>
        </w:rPr>
        <w:t>论文</w:t>
      </w:r>
    </w:p>
    <w:p w:rsidR="00C91AFC" w:rsidRDefault="00C91AFC" w:rsidP="00C91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ascii="宋体" w:hAnsi="宋体" w:hint="eastAsia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ascii="宋体" w:hAnsi="宋体" w:hint="eastAsia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</w:t>
      </w:r>
      <w:proofErr w:type="gramStart"/>
      <w:r>
        <w:rPr>
          <w:sz w:val="24"/>
        </w:rPr>
        <w:t>计信息</w:t>
      </w:r>
      <w:proofErr w:type="gramEnd"/>
      <w:r>
        <w:rPr>
          <w:sz w:val="24"/>
        </w:rPr>
        <w:t>披露模式</w:t>
      </w:r>
      <w:r>
        <w:rPr>
          <w:sz w:val="24"/>
        </w:rPr>
        <w:t>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</w:t>
      </w:r>
      <w:r>
        <w:rPr>
          <w:sz w:val="24"/>
        </w:rPr>
        <w:t>2004</w:t>
      </w:r>
      <w:r>
        <w:rPr>
          <w:sz w:val="24"/>
        </w:rPr>
        <w:t>，</w:t>
      </w:r>
      <w:r>
        <w:rPr>
          <w:sz w:val="24"/>
        </w:rPr>
        <w:t>21(1)</w:t>
      </w:r>
      <w:r>
        <w:rPr>
          <w:sz w:val="24"/>
        </w:rPr>
        <w:t>：</w:t>
      </w:r>
      <w:r>
        <w:rPr>
          <w:sz w:val="24"/>
        </w:rPr>
        <w:t>56-58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[2] </w:t>
      </w:r>
      <w:proofErr w:type="spellStart"/>
      <w:r>
        <w:rPr>
          <w:sz w:val="24"/>
        </w:rPr>
        <w:t>Kanamori</w:t>
      </w:r>
      <w:proofErr w:type="spellEnd"/>
      <w:r>
        <w:rPr>
          <w:sz w:val="24"/>
        </w:rPr>
        <w:t xml:space="preserve">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</w:t>
      </w:r>
      <w:r>
        <w:rPr>
          <w:sz w:val="24"/>
        </w:rPr>
        <w:t>，</w:t>
      </w:r>
      <w:r>
        <w:rPr>
          <w:sz w:val="24"/>
        </w:rPr>
        <w:t>1998</w:t>
      </w:r>
      <w:r>
        <w:rPr>
          <w:sz w:val="24"/>
        </w:rPr>
        <w:t>，</w:t>
      </w:r>
      <w:r>
        <w:rPr>
          <w:sz w:val="24"/>
        </w:rPr>
        <w:t>279(5359)</w:t>
      </w:r>
      <w:r>
        <w:rPr>
          <w:sz w:val="24"/>
        </w:rPr>
        <w:t>：</w:t>
      </w:r>
      <w:r>
        <w:rPr>
          <w:sz w:val="24"/>
        </w:rPr>
        <w:t>2063-2064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）报纸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</w:t>
      </w:r>
      <w:r>
        <w:rPr>
          <w:sz w:val="24"/>
        </w:rPr>
        <w:t>1998-12-27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</w:t>
      </w:r>
      <w:r>
        <w:rPr>
          <w:sz w:val="24"/>
        </w:rPr>
        <w:t>，</w:t>
      </w:r>
      <w:r>
        <w:rPr>
          <w:sz w:val="24"/>
        </w:rPr>
        <w:t>1987-08-15</w:t>
      </w:r>
      <w:r>
        <w:rPr>
          <w:sz w:val="24"/>
        </w:rPr>
        <w:t>（</w:t>
      </w:r>
      <w:r>
        <w:rPr>
          <w:sz w:val="24"/>
        </w:rPr>
        <w:t>33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）图书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Ansi="宋体" w:hint="eastAsia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 w:rsidR="00C91AFC" w:rsidRDefault="00C91AFC" w:rsidP="00C91AFC">
      <w:pPr>
        <w:spacing w:line="500" w:lineRule="exact"/>
        <w:rPr>
          <w:rFonts w:eastAsia="黑体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霍斯尼</w:t>
      </w:r>
      <w:r>
        <w:rPr>
          <w:rFonts w:hint="eastAsia"/>
          <w:sz w:val="24"/>
        </w:rPr>
        <w:t xml:space="preserve"> R K</w:t>
      </w:r>
      <w:r>
        <w:rPr>
          <w:rFonts w:hint="eastAsia"/>
          <w:sz w:val="24"/>
        </w:rPr>
        <w:t>．谷物科学与工艺学原理</w:t>
      </w:r>
      <w:r>
        <w:rPr>
          <w:rFonts w:hint="eastAsia"/>
          <w:sz w:val="24"/>
        </w:rPr>
        <w:t>[M]</w:t>
      </w:r>
      <w:r>
        <w:rPr>
          <w:rFonts w:hint="eastAsia"/>
          <w:sz w:val="24"/>
        </w:rPr>
        <w:t>．李庆龙，译．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版．北京：中国食品出版社，</w:t>
      </w:r>
      <w:r>
        <w:rPr>
          <w:rFonts w:hint="eastAsia"/>
          <w:sz w:val="24"/>
        </w:rPr>
        <w:t>1989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15-20</w:t>
      </w:r>
      <w:r>
        <w:rPr>
          <w:rFonts w:eastAsia="黑体"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sz w:val="24"/>
        </w:rPr>
        <w:t>[C]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引</w:t>
      </w:r>
      <w:r>
        <w:rPr>
          <w:rFonts w:hint="eastAsia"/>
          <w:sz w:val="24"/>
        </w:rPr>
        <w:lastRenderedPageBreak/>
        <w:t>文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辛希孟</w:t>
      </w:r>
      <w:proofErr w:type="gramEnd"/>
      <w:r>
        <w:rPr>
          <w:rFonts w:hint="eastAsia"/>
          <w:sz w:val="24"/>
        </w:rPr>
        <w:t>．信息技术与信息服务国际研讨会论文集：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[C]</w:t>
      </w:r>
      <w:r>
        <w:rPr>
          <w:rFonts w:hint="eastAsia"/>
          <w:sz w:val="24"/>
        </w:rPr>
        <w:t>．北京：中国社会科学出版社，</w:t>
      </w:r>
      <w:r>
        <w:rPr>
          <w:rFonts w:hint="eastAsia"/>
          <w:sz w:val="24"/>
        </w:rPr>
        <w:t>1994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  <w:r>
        <w:rPr>
          <w:rFonts w:hAnsi="宋体" w:hint="eastAsia"/>
          <w:sz w:val="24"/>
        </w:rPr>
        <w:t>或图书中的论文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rFonts w:hint="eastAsia"/>
          <w:sz w:val="24"/>
        </w:rPr>
        <w:t>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钟文发．非线性规划在可燃毒物配置中的应用</w:t>
      </w:r>
      <w:r>
        <w:rPr>
          <w:rFonts w:hint="eastAsia"/>
          <w:sz w:val="24"/>
        </w:rPr>
        <w:t>[C]//</w:t>
      </w:r>
      <w:r>
        <w:rPr>
          <w:rFonts w:hint="eastAsia"/>
          <w:sz w:val="24"/>
        </w:rPr>
        <w:t>赵玮．运筹学的理论与应用：中国运筹学会第五届大会论文集．西安：西安电子科技大学出版社，</w:t>
      </w:r>
      <w:r>
        <w:rPr>
          <w:rFonts w:hint="eastAsia"/>
          <w:sz w:val="24"/>
        </w:rPr>
        <w:t>1996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468-471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Weinstein 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Swertz</w:t>
      </w:r>
      <w:proofErr w:type="spellEnd"/>
      <w:r>
        <w:rPr>
          <w:rFonts w:hint="eastAsia"/>
          <w:sz w:val="24"/>
        </w:rPr>
        <w:t xml:space="preserve"> M N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Pathogenic properties of invading microorganism[M]//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 Jr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Pathologic physiology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Mechanisms of disease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Philadephia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Saunders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745</w:t>
      </w:r>
      <w:r>
        <w:rPr>
          <w:sz w:val="24"/>
        </w:rPr>
        <w:t>-</w:t>
      </w:r>
      <w:r>
        <w:rPr>
          <w:rFonts w:hint="eastAsia"/>
          <w:sz w:val="24"/>
        </w:rPr>
        <w:t>772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学位论文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</w:t>
      </w:r>
      <w:r>
        <w:rPr>
          <w:sz w:val="24"/>
        </w:rPr>
        <w:t>[D]</w:t>
      </w:r>
      <w:r>
        <w:rPr>
          <w:sz w:val="24"/>
        </w:rPr>
        <w:t>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孙玉文．汉语变调构词研究</w:t>
      </w:r>
      <w:r>
        <w:rPr>
          <w:rFonts w:hint="eastAsia"/>
          <w:sz w:val="24"/>
        </w:rPr>
        <w:t>[D]</w:t>
      </w:r>
      <w:r>
        <w:rPr>
          <w:rFonts w:hint="eastAsia"/>
          <w:sz w:val="24"/>
        </w:rPr>
        <w:t>．北京：北京大学出版社，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proofErr w:type="gramStart"/>
      <w:r>
        <w:rPr>
          <w:sz w:val="24"/>
        </w:rPr>
        <w:t>张筑生</w:t>
      </w:r>
      <w:proofErr w:type="gramEnd"/>
      <w:r>
        <w:rPr>
          <w:sz w:val="24"/>
        </w:rPr>
        <w:t>．微分半动力系统的不变集</w:t>
      </w:r>
      <w:r>
        <w:rPr>
          <w:sz w:val="24"/>
        </w:rPr>
        <w:t>[D]</w:t>
      </w:r>
      <w:r>
        <w:rPr>
          <w:sz w:val="24"/>
        </w:rPr>
        <w:t>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</w:t>
      </w:r>
      <w:r>
        <w:rPr>
          <w:sz w:val="24"/>
        </w:rPr>
        <w:t>：</w:t>
      </w:r>
      <w:r>
        <w:rPr>
          <w:sz w:val="24"/>
        </w:rPr>
        <w:t>1-7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Ansi="宋体" w:hint="eastAsia"/>
          <w:sz w:val="24"/>
        </w:rPr>
        <w:t>文献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姜锡洲．一种温热外敷药制备方案：中国，</w:t>
      </w:r>
      <w:r>
        <w:rPr>
          <w:rFonts w:hint="eastAsia"/>
          <w:sz w:val="24"/>
        </w:rPr>
        <w:t>88105607.3[P]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1989-07-26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标准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起草责任者．标准代号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标准顺序号—发布年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标准名称</w:t>
      </w:r>
      <w:r>
        <w:rPr>
          <w:rFonts w:hint="eastAsia"/>
          <w:sz w:val="24"/>
        </w:rPr>
        <w:t>[S]</w:t>
      </w:r>
      <w:r>
        <w:rPr>
          <w:rFonts w:hint="eastAsia"/>
          <w:sz w:val="24"/>
        </w:rPr>
        <w:t>．出版地：出版者，出版年：引文页码．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全国文献工作标准化技术委员会第七分委员会．</w:t>
      </w:r>
      <w:r>
        <w:rPr>
          <w:rFonts w:hint="eastAsia"/>
          <w:sz w:val="24"/>
        </w:rPr>
        <w:t>GB/T 5795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1986 </w:t>
      </w:r>
      <w:r>
        <w:rPr>
          <w:rFonts w:hint="eastAsia"/>
          <w:sz w:val="24"/>
        </w:rPr>
        <w:t>中国标准书号</w:t>
      </w:r>
      <w:r>
        <w:rPr>
          <w:rFonts w:hint="eastAsia"/>
          <w:sz w:val="24"/>
        </w:rPr>
        <w:t>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</w:t>
      </w:r>
      <w:r>
        <w:rPr>
          <w:rFonts w:hint="eastAsia"/>
          <w:sz w:val="24"/>
        </w:rPr>
        <w:t>1986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）科技</w:t>
      </w:r>
      <w:r>
        <w:rPr>
          <w:rFonts w:hAnsi="宋体"/>
          <w:sz w:val="24"/>
        </w:rPr>
        <w:t>报告</w:t>
      </w:r>
    </w:p>
    <w:p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 w:hint="eastAsia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Ansi="宋体" w:hint="eastAsia"/>
          <w:sz w:val="24"/>
        </w:rPr>
        <w:t>：其他报告</w:t>
      </w:r>
      <w:proofErr w:type="gramStart"/>
      <w:r>
        <w:rPr>
          <w:rFonts w:hAnsi="宋体" w:hint="eastAsia"/>
          <w:sz w:val="24"/>
        </w:rPr>
        <w:t>名信息</w:t>
      </w:r>
      <w:proofErr w:type="gramEnd"/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出版地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Ansi="宋体" w:hint="eastAsia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北京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World Health Organization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Fractors</w:t>
      </w:r>
      <w:proofErr w:type="spellEnd"/>
      <w:r>
        <w:rPr>
          <w:rFonts w:hint="eastAsia"/>
          <w:sz w:val="24"/>
        </w:rPr>
        <w:t xml:space="preserve"> regulating the immune response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Report of WHO Scientific Group[R]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Geneva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WHO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10</w:t>
      </w:r>
      <w:r>
        <w:rPr>
          <w:rFonts w:hAnsi="宋体" w:hint="eastAsia"/>
          <w:sz w:val="24"/>
        </w:rPr>
        <w:t>）电子公告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主要责任者．题名：其他题名信息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引用日期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．获取和访问路径．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</w:t>
      </w:r>
      <w:r>
        <w:rPr>
          <w:sz w:val="24"/>
        </w:rPr>
        <w:t>．</w:t>
      </w:r>
      <w:r>
        <w:rPr>
          <w:sz w:val="24"/>
        </w:rPr>
        <w:t>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</w:t>
      </w:r>
      <w:r>
        <w:rPr>
          <w:sz w:val="24"/>
        </w:rPr>
        <w:t>http</w:t>
      </w:r>
      <w:r>
        <w:rPr>
          <w:sz w:val="24"/>
        </w:rPr>
        <w:t>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PACS-L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public-access computer systems forum[EB/OL]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Houston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University of Houston Libraries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1989[1995-05-17]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//info.lib.uh.edu/pacsl.html</w:t>
      </w:r>
      <w:r>
        <w:rPr>
          <w:rFonts w:hint="eastAsia"/>
          <w:sz w:val="24"/>
        </w:rPr>
        <w:t>．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:rsidR="00C91AFC" w:rsidRDefault="00C91AFC" w:rsidP="00C91AFC">
      <w:pPr>
        <w:spacing w:line="500" w:lineRule="exact"/>
        <w:ind w:firstLineChars="200" w:firstLine="48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Ansi="宋体" w:hint="eastAsia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Ansi="宋体" w:hint="eastAsia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基金项目。</w:t>
      </w:r>
    </w:p>
    <w:p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三、图表要求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、图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表的标题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字体为宋体、小五号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居中；图、表与正文混排，</w:t>
      </w:r>
      <w:r>
        <w:rPr>
          <w:rFonts w:hAnsi="宋体" w:hint="eastAsia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Ansi="宋体" w:hint="eastAsia"/>
          <w:sz w:val="24"/>
        </w:rPr>
        <w:t>，先文后图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每个</w:t>
      </w:r>
      <w:r>
        <w:rPr>
          <w:rFonts w:hAnsi="宋体"/>
          <w:sz w:val="24"/>
        </w:rPr>
        <w:t>表格</w:t>
      </w:r>
      <w:proofErr w:type="gramStart"/>
      <w:r>
        <w:rPr>
          <w:rFonts w:hAnsi="宋体"/>
          <w:sz w:val="24"/>
        </w:rPr>
        <w:t>应有表序和</w:t>
      </w:r>
      <w:proofErr w:type="gramEnd"/>
      <w:r>
        <w:rPr>
          <w:rFonts w:hAnsi="宋体"/>
          <w:sz w:val="24"/>
        </w:rPr>
        <w:t>表题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表序和表题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表格上方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/>
          <w:sz w:val="24"/>
        </w:rPr>
        <w:t>表序在表题</w:t>
      </w:r>
      <w:proofErr w:type="gramEnd"/>
      <w:r>
        <w:rPr>
          <w:rFonts w:hAnsi="宋体"/>
          <w:sz w:val="24"/>
        </w:rPr>
        <w:t>左方不加标点，空一格接表题，</w:t>
      </w:r>
      <w:proofErr w:type="gramStart"/>
      <w:r>
        <w:rPr>
          <w:rFonts w:hAnsi="宋体"/>
          <w:sz w:val="24"/>
        </w:rPr>
        <w:t>表题末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。全文表格可统一编序，也可逐章编序，不管采用哪种方式，</w:t>
      </w:r>
      <w:proofErr w:type="gramStart"/>
      <w:r>
        <w:rPr>
          <w:rFonts w:hAnsi="宋体"/>
          <w:sz w:val="24"/>
        </w:rPr>
        <w:t>表序必须</w:t>
      </w:r>
      <w:proofErr w:type="gramEnd"/>
      <w:r>
        <w:rPr>
          <w:rFonts w:hAnsi="宋体"/>
          <w:sz w:val="24"/>
        </w:rPr>
        <w:t>连续。表格允许下</w:t>
      </w:r>
      <w:proofErr w:type="gramStart"/>
      <w:r>
        <w:rPr>
          <w:rFonts w:hAnsi="宋体"/>
          <w:sz w:val="24"/>
        </w:rPr>
        <w:t>页接</w:t>
      </w:r>
      <w:r>
        <w:rPr>
          <w:rFonts w:hAnsi="宋体" w:hint="eastAsia"/>
          <w:sz w:val="24"/>
        </w:rPr>
        <w:t>排</w:t>
      </w:r>
      <w:proofErr w:type="gramEnd"/>
      <w:r>
        <w:rPr>
          <w:rFonts w:hAnsi="宋体"/>
          <w:sz w:val="24"/>
        </w:rPr>
        <w:t>，接</w:t>
      </w:r>
      <w:r>
        <w:rPr>
          <w:rFonts w:hAnsi="宋体" w:hint="eastAsia"/>
          <w:sz w:val="24"/>
        </w:rPr>
        <w:t>排</w:t>
      </w:r>
      <w:proofErr w:type="gramStart"/>
      <w:r>
        <w:rPr>
          <w:rFonts w:hAnsi="宋体"/>
          <w:sz w:val="24"/>
        </w:rPr>
        <w:t>时表</w:t>
      </w:r>
      <w:r>
        <w:rPr>
          <w:rFonts w:hAnsi="宋体"/>
          <w:sz w:val="24"/>
        </w:rPr>
        <w:lastRenderedPageBreak/>
        <w:t>题省略</w:t>
      </w:r>
      <w:proofErr w:type="gramEnd"/>
      <w:r>
        <w:rPr>
          <w:rFonts w:hAnsi="宋体"/>
          <w:sz w:val="24"/>
        </w:rPr>
        <w:t>，表头应重复</w:t>
      </w:r>
      <w:r>
        <w:rPr>
          <w:rFonts w:hAnsi="宋体" w:hint="eastAsia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Ansi="宋体" w:hint="eastAsia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、插图必须精心制作，线条匀称，图面整洁美观。每幅插图</w:t>
      </w:r>
      <w:proofErr w:type="gramStart"/>
      <w:r>
        <w:rPr>
          <w:rFonts w:hAnsi="宋体"/>
          <w:sz w:val="24"/>
        </w:rPr>
        <w:t>应有图序和</w:t>
      </w:r>
      <w:proofErr w:type="gramEnd"/>
      <w:r>
        <w:rPr>
          <w:rFonts w:hAnsi="宋体"/>
          <w:sz w:val="24"/>
        </w:rPr>
        <w:t>图题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图序和图题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图的正下方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序在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</w:t>
      </w:r>
      <w:proofErr w:type="gramEnd"/>
      <w:r>
        <w:rPr>
          <w:rFonts w:hAnsi="宋体"/>
          <w:sz w:val="24"/>
        </w:rPr>
        <w:t>左方不加标点，空一格</w:t>
      </w:r>
      <w:proofErr w:type="gramStart"/>
      <w:r>
        <w:rPr>
          <w:rFonts w:hAnsi="宋体"/>
          <w:sz w:val="24"/>
        </w:rPr>
        <w:t>接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</w:t>
      </w:r>
      <w:proofErr w:type="gramStart"/>
      <w:r>
        <w:rPr>
          <w:rFonts w:hAnsi="宋体"/>
          <w:sz w:val="24"/>
        </w:rPr>
        <w:t>图序必须</w:t>
      </w:r>
      <w:proofErr w:type="gramEnd"/>
      <w:r>
        <w:rPr>
          <w:rFonts w:hAnsi="宋体"/>
          <w:sz w:val="24"/>
        </w:rPr>
        <w:t>连续。</w:t>
      </w:r>
    </w:p>
    <w:p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四、其他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Ansi="宋体" w:hint="eastAsia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Ansi="宋体" w:hint="eastAsia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Ansi="宋体" w:hint="eastAsia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各级标题，正文一级标题用“一、二……（或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……）”，二级标题为“（一）、（二）……（或</w:t>
      </w:r>
      <w:r>
        <w:rPr>
          <w:rFonts w:hAnsi="宋体" w:hint="eastAsia"/>
          <w:sz w:val="24"/>
        </w:rPr>
        <w:t>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</w:t>
      </w:r>
      <w:r>
        <w:rPr>
          <w:rFonts w:hAnsi="宋体" w:hint="eastAsia"/>
          <w:sz w:val="24"/>
        </w:rPr>
        <w:t>……）”，三级标题用“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……（或</w:t>
      </w:r>
      <w:r>
        <w:rPr>
          <w:rFonts w:hAnsi="宋体" w:hint="eastAsia"/>
          <w:sz w:val="24"/>
        </w:rPr>
        <w:t>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</w:t>
      </w:r>
      <w:r>
        <w:rPr>
          <w:rFonts w:hAnsi="宋体" w:hint="eastAsia"/>
          <w:sz w:val="24"/>
        </w:rPr>
        <w:t>……）”，四级标题用“（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）、（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）……（或</w:t>
      </w:r>
      <w:r>
        <w:rPr>
          <w:rFonts w:hAnsi="宋体" w:hint="eastAsia"/>
          <w:sz w:val="24"/>
        </w:rPr>
        <w:t>1.1.1.1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2.1.1.1</w:t>
      </w:r>
      <w:r>
        <w:rPr>
          <w:rFonts w:hAnsi="宋体" w:hint="eastAsia"/>
          <w:sz w:val="24"/>
        </w:rPr>
        <w:t>……）”。不再使用五级以下标题。</w:t>
      </w:r>
    </w:p>
    <w:p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注释（中文采用小五号宋体，英文采用小五号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）列于当前页的脚注位置，</w:t>
      </w:r>
      <w:proofErr w:type="gramStart"/>
      <w:r>
        <w:rPr>
          <w:rFonts w:hAnsi="宋体" w:hint="eastAsia"/>
          <w:sz w:val="24"/>
        </w:rPr>
        <w:t>注释号按顺序</w:t>
      </w:r>
      <w:proofErr w:type="gramEnd"/>
      <w:r>
        <w:rPr>
          <w:rFonts w:hAnsi="宋体" w:hint="eastAsia"/>
          <w:sz w:val="24"/>
        </w:rPr>
        <w:t>采用</w:t>
      </w:r>
      <w:r>
        <w:rPr>
          <w:rFonts w:hAnsi="宋体" w:hint="eastAsia"/>
          <w:sz w:val="24"/>
        </w:rPr>
        <w:t>1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、……。</w:t>
      </w:r>
    </w:p>
    <w:p w:rsidR="00196CAA" w:rsidRDefault="00C91AFC" w:rsidP="00021C85">
      <w:pPr>
        <w:spacing w:line="500" w:lineRule="exact"/>
        <w:ind w:firstLineChars="200" w:firstLine="480"/>
      </w:pP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中文标点一律采用全角。</w:t>
      </w:r>
    </w:p>
    <w:sectPr w:rsidR="00196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FC"/>
    <w:rsid w:val="00021C85"/>
    <w:rsid w:val="00162C38"/>
    <w:rsid w:val="00196CAA"/>
    <w:rsid w:val="00C91AFC"/>
    <w:rsid w:val="00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9C9DC-1CEC-4FF9-A882-D64E2D74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3687</Characters>
  <Application>Microsoft Office Word</Application>
  <DocSecurity>0</DocSecurity>
  <Lines>30</Lines>
  <Paragraphs>8</Paragraphs>
  <ScaleCrop>false</ScaleCrop>
  <Company>微软中国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2</cp:revision>
  <dcterms:created xsi:type="dcterms:W3CDTF">2020-05-05T09:06:00Z</dcterms:created>
  <dcterms:modified xsi:type="dcterms:W3CDTF">2020-05-05T09:06:00Z</dcterms:modified>
</cp:coreProperties>
</file>