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F850" w14:textId="24976A98" w:rsidR="00C56D2F" w:rsidRDefault="00000000" w:rsidP="00536D9C">
      <w:pPr>
        <w:pStyle w:val="Title"/>
      </w:pPr>
      <w:r>
        <w:t>Business Case and Role Execution Plan</w:t>
      </w:r>
      <w:r w:rsidR="008D4A36">
        <w:t xml:space="preserve"> </w:t>
      </w:r>
    </w:p>
    <w:p w14:paraId="6997B0A6" w14:textId="6FF61872" w:rsidR="00536D9C" w:rsidRDefault="00000000" w:rsidP="00536D9C">
      <w:pPr>
        <w:pStyle w:val="Heading1"/>
      </w:pPr>
      <w:r w:rsidRPr="00536D9C">
        <w:t xml:space="preserve">Global IT Manager, Infrastructure, Operations &amp; Security </w:t>
      </w:r>
    </w:p>
    <w:p w14:paraId="6C96D2C4" w14:textId="5CB0AAFD" w:rsidR="00536D9C" w:rsidRPr="00536D9C" w:rsidRDefault="00536D9C" w:rsidP="00536D9C">
      <w:pPr>
        <w:pStyle w:val="Subtitle"/>
        <w:rPr>
          <w:b/>
          <w:bCs/>
          <w:i w:val="0"/>
          <w:iCs w:val="0"/>
          <w:color w:val="365F91" w:themeColor="accent1" w:themeShade="BF"/>
          <w:spacing w:val="0"/>
          <w:sz w:val="28"/>
          <w:szCs w:val="28"/>
        </w:rPr>
      </w:pPr>
      <w:r w:rsidRPr="00536D9C">
        <w:rPr>
          <w:b/>
          <w:bCs/>
          <w:i w:val="0"/>
          <w:iCs w:val="0"/>
          <w:color w:val="365F91" w:themeColor="accent1" w:themeShade="BF"/>
          <w:spacing w:val="0"/>
          <w:sz w:val="28"/>
          <w:szCs w:val="28"/>
        </w:rPr>
        <w:t>D</w:t>
      </w:r>
      <w:r>
        <w:rPr>
          <w:b/>
          <w:bCs/>
          <w:i w:val="0"/>
          <w:iCs w:val="0"/>
          <w:color w:val="365F91" w:themeColor="accent1" w:themeShade="BF"/>
          <w:spacing w:val="0"/>
          <w:sz w:val="28"/>
          <w:szCs w:val="28"/>
        </w:rPr>
        <w:t xml:space="preserve">AYCO </w:t>
      </w:r>
    </w:p>
    <w:p w14:paraId="43AA6B2B" w14:textId="77777777" w:rsidR="00C56D2F" w:rsidRDefault="00000000">
      <w:pPr>
        <w:pStyle w:val="Heading2"/>
      </w:pPr>
      <w:r>
        <w:t>Executive Summary</w:t>
      </w:r>
    </w:p>
    <w:p w14:paraId="7BDE2211" w14:textId="45264A02" w:rsidR="00C56D2F" w:rsidRDefault="00512F78">
      <w:r w:rsidRPr="00F15312">
        <w:t xml:space="preserve">This Business Case and Role Execution Plan </w:t>
      </w:r>
      <w:proofErr w:type="gramStart"/>
      <w:r w:rsidR="00B533CE">
        <w:t>lays</w:t>
      </w:r>
      <w:proofErr w:type="gramEnd"/>
      <w:r w:rsidR="00B533CE">
        <w:t xml:space="preserve"> out</w:t>
      </w:r>
      <w:r w:rsidRPr="00F15312">
        <w:t xml:space="preserve"> </w:t>
      </w:r>
      <w:r w:rsidR="00B533CE">
        <w:t xml:space="preserve">an </w:t>
      </w:r>
      <w:r w:rsidRPr="00F15312">
        <w:t>operational</w:t>
      </w:r>
      <w:r>
        <w:t xml:space="preserve">, </w:t>
      </w:r>
      <w:r w:rsidRPr="00F15312">
        <w:t xml:space="preserve">strategic, and governance framework for the </w:t>
      </w:r>
      <w:r w:rsidRPr="00F15312">
        <w:rPr>
          <w:b/>
          <w:bCs/>
        </w:rPr>
        <w:t>Global IT Manager, Infrastructure, Operations &amp; Security</w:t>
      </w:r>
      <w:r w:rsidRPr="00F15312">
        <w:t>.</w:t>
      </w:r>
      <w:r>
        <w:t xml:space="preserve"> It outlines </w:t>
      </w:r>
      <w:r w:rsidR="00B533CE">
        <w:t>an approach</w:t>
      </w:r>
      <w:r>
        <w:t xml:space="preserve"> to ensure resilience, scalability, and security across all global IT environments. The Global IT Manager will </w:t>
      </w:r>
      <w:r w:rsidR="00B533CE" w:rsidRPr="00323A64">
        <w:t>align IT capabilities with Dayco’s global business priorities</w:t>
      </w:r>
      <w:r w:rsidR="00B533CE">
        <w:t xml:space="preserve"> in </w:t>
      </w:r>
      <w:r w:rsidR="00B533CE" w:rsidRPr="00323A64">
        <w:t>support</w:t>
      </w:r>
      <w:r w:rsidR="00B533CE">
        <w:t xml:space="preserve"> of </w:t>
      </w:r>
      <w:r w:rsidR="00B533CE" w:rsidRPr="00323A64">
        <w:t>manufacturing, innovation, and operational excellence across regions.</w:t>
      </w:r>
      <w:r w:rsidR="00B533CE">
        <w:t xml:space="preserve"> </w:t>
      </w:r>
    </w:p>
    <w:p w14:paraId="13CDD107" w14:textId="77777777" w:rsidR="00C56D2F" w:rsidRDefault="00000000">
      <w:pPr>
        <w:pStyle w:val="Heading2"/>
      </w:pPr>
      <w:r>
        <w:t>1. Operational Excellence &amp; Service Delivery</w:t>
      </w:r>
    </w:p>
    <w:p w14:paraId="59D8ADEB" w14:textId="77777777" w:rsidR="00C56D2F" w:rsidRDefault="00000000">
      <w:pPr>
        <w:pStyle w:val="Heading3"/>
      </w:pPr>
      <w:r>
        <w:t>1.1 Optimize Day-to-Day IT Operations</w:t>
      </w:r>
    </w:p>
    <w:p w14:paraId="6894E8EF" w14:textId="77777777" w:rsidR="00C56D2F" w:rsidRDefault="00000000" w:rsidP="00536D9C">
      <w:pPr>
        <w:pStyle w:val="Heading4"/>
      </w:pPr>
      <w:r>
        <w:t>Operational / Tactical Solutions</w:t>
      </w:r>
    </w:p>
    <w:p w14:paraId="33B90D7D" w14:textId="7EFBA431" w:rsidR="00C56D2F" w:rsidRDefault="00000000">
      <w:pPr>
        <w:pStyle w:val="ListBullet"/>
      </w:pPr>
      <w:r>
        <w:t>Standardize ITSM processes across incident, problem, and change using an enterprise platform (e.g., ServiceNow</w:t>
      </w:r>
      <w:r w:rsidR="00BB3BA9">
        <w:t xml:space="preserve"> or Atlassian Suite</w:t>
      </w:r>
      <w:r>
        <w:t>).</w:t>
      </w:r>
    </w:p>
    <w:p w14:paraId="5D474721" w14:textId="77777777" w:rsidR="00C56D2F" w:rsidRDefault="00000000">
      <w:pPr>
        <w:pStyle w:val="ListBullet"/>
      </w:pPr>
      <w:r>
        <w:t>Integrate proactive 24x7x365 monitoring via Managed Services and NOC/SOC collaboration with clear escalation SLAs.</w:t>
      </w:r>
    </w:p>
    <w:p w14:paraId="1280AB36" w14:textId="77777777" w:rsidR="00C56D2F" w:rsidRDefault="00000000">
      <w:pPr>
        <w:pStyle w:val="ListBullet"/>
      </w:pPr>
      <w:r>
        <w:t>Implement daily health checks and SLA dashboards for real-time visibility of service KPIs and risks.</w:t>
      </w:r>
    </w:p>
    <w:p w14:paraId="6D34F182" w14:textId="77777777" w:rsidR="00C56D2F" w:rsidRDefault="00000000">
      <w:pPr>
        <w:pStyle w:val="ListBullet"/>
      </w:pPr>
      <w:r>
        <w:t>Coordinate project scheduling and milestone tracking within operational cadences to ensure on-time delivery.</w:t>
      </w:r>
    </w:p>
    <w:p w14:paraId="2321FF97" w14:textId="77777777" w:rsidR="00C56D2F" w:rsidRDefault="00000000">
      <w:pPr>
        <w:pStyle w:val="ListBullet"/>
      </w:pPr>
      <w:r>
        <w:t>Optimize managed service vendor engagement for cost, responsiveness, and performance accountability.</w:t>
      </w:r>
    </w:p>
    <w:p w14:paraId="6A5704F7" w14:textId="77777777" w:rsidR="00C56D2F" w:rsidRDefault="00000000">
      <w:pPr>
        <w:pStyle w:val="ListBullet"/>
      </w:pPr>
      <w:r>
        <w:t>Run structured shift-handoffs with checklists across regions to protect continuity and knowledge transfer.</w:t>
      </w:r>
    </w:p>
    <w:p w14:paraId="27667204" w14:textId="77777777" w:rsidR="00C56D2F" w:rsidRDefault="00000000">
      <w:pPr>
        <w:pStyle w:val="ListBullet"/>
      </w:pPr>
      <w:r>
        <w:t>Apply risk-based intake and prioritization to align workload with business-critical outcomes.</w:t>
      </w:r>
    </w:p>
    <w:p w14:paraId="2030C7B7" w14:textId="48D17978" w:rsidR="00C56D2F" w:rsidRDefault="00000000">
      <w:pPr>
        <w:pStyle w:val="ListBullet"/>
      </w:pPr>
      <w:r>
        <w:t>Track daily KPIs: uptime, MTTD, MTTR, backlog, SLA adherence, and customer satisfaction (CSAT)</w:t>
      </w:r>
      <w:r w:rsidR="007C25AD">
        <w:t xml:space="preserve">, etc. </w:t>
      </w:r>
    </w:p>
    <w:p w14:paraId="0A6A7D2B" w14:textId="77777777" w:rsidR="00C56D2F" w:rsidRDefault="00000000" w:rsidP="00536D9C">
      <w:pPr>
        <w:pStyle w:val="Heading4"/>
      </w:pPr>
      <w:r>
        <w:t>Strategic Alignment / Forward-Looking Recommendations</w:t>
      </w:r>
    </w:p>
    <w:p w14:paraId="32508B40" w14:textId="77777777" w:rsidR="00C56D2F" w:rsidRDefault="00000000">
      <w:pPr>
        <w:pStyle w:val="ListBullet"/>
      </w:pPr>
      <w:r>
        <w:t>Leverage managed services for scale while retaining internal ownership of strategy, governance, and quality.</w:t>
      </w:r>
    </w:p>
    <w:p w14:paraId="56FAEBAB" w14:textId="422A25A3" w:rsidR="00C56D2F" w:rsidRDefault="00000000">
      <w:pPr>
        <w:pStyle w:val="ListBullet"/>
      </w:pPr>
      <w:r>
        <w:t>Adopt AIOps to automate detection, triage, correlation, and remediation of incidents to reduce MTTR.</w:t>
      </w:r>
      <w:r w:rsidR="007C25AD">
        <w:t xml:space="preserve"> </w:t>
      </w:r>
      <w:r w:rsidR="007C25AD">
        <w:t xml:space="preserve">(e.g., </w:t>
      </w:r>
      <w:r w:rsidR="007C25AD">
        <w:t xml:space="preserve">Big Panda) </w:t>
      </w:r>
      <w:r w:rsidR="007C25AD">
        <w:t xml:space="preserve"> </w:t>
      </w:r>
    </w:p>
    <w:p w14:paraId="732FDBA8" w14:textId="77777777" w:rsidR="00C56D2F" w:rsidRDefault="00000000">
      <w:pPr>
        <w:pStyle w:val="ListBullet"/>
      </w:pPr>
      <w:r>
        <w:lastRenderedPageBreak/>
        <w:t>Integrate operational metrics into executive scorecards and capital planning/quality improvement forums.</w:t>
      </w:r>
    </w:p>
    <w:p w14:paraId="0E0AA263" w14:textId="40E8F58F" w:rsidR="00C56D2F" w:rsidRDefault="00000000">
      <w:pPr>
        <w:pStyle w:val="ListBullet"/>
      </w:pPr>
      <w:r>
        <w:t>Drive ITIL</w:t>
      </w:r>
      <w:r w:rsidR="003A0A8A">
        <w:t xml:space="preserve"> </w:t>
      </w:r>
      <w:r>
        <w:t xml:space="preserve">maturity </w:t>
      </w:r>
      <w:r w:rsidR="003A0A8A">
        <w:t xml:space="preserve">model </w:t>
      </w:r>
      <w:r>
        <w:t>roadmaps with quarterly goals and corrective action plans.</w:t>
      </w:r>
    </w:p>
    <w:p w14:paraId="4904683C" w14:textId="77777777" w:rsidR="00C56D2F" w:rsidRDefault="00000000">
      <w:pPr>
        <w:pStyle w:val="ListBullet"/>
      </w:pPr>
      <w:r>
        <w:t>Standardize global procedures to ensure consistent service levels across all sites.</w:t>
      </w:r>
    </w:p>
    <w:p w14:paraId="491FAF72" w14:textId="77777777" w:rsidR="00C56D2F" w:rsidRDefault="00000000">
      <w:pPr>
        <w:pStyle w:val="ListBullet"/>
      </w:pPr>
      <w:proofErr w:type="gramStart"/>
      <w:r>
        <w:t>Introduce service</w:t>
      </w:r>
      <w:proofErr w:type="gramEnd"/>
      <w:r>
        <w:t xml:space="preserve"> cost-to-value models to inform budgets and investment trade-offs.</w:t>
      </w:r>
    </w:p>
    <w:p w14:paraId="5F9A8699" w14:textId="77777777" w:rsidR="00C56D2F" w:rsidRDefault="00000000">
      <w:pPr>
        <w:pStyle w:val="ListBullet"/>
      </w:pPr>
      <w:r>
        <w:t>Tie operational objectives to manufacturing throughput, quality, and productivity goals.</w:t>
      </w:r>
    </w:p>
    <w:p w14:paraId="462A81C9" w14:textId="77777777" w:rsidR="00C56D2F" w:rsidRDefault="00000000" w:rsidP="00536D9C">
      <w:pPr>
        <w:pStyle w:val="Heading4"/>
      </w:pPr>
      <w:r>
        <w:t>Best Practices</w:t>
      </w:r>
    </w:p>
    <w:p w14:paraId="67C1CC91" w14:textId="77777777" w:rsidR="00C56D2F" w:rsidRDefault="00000000">
      <w:pPr>
        <w:pStyle w:val="ListBullet"/>
      </w:pPr>
      <w:r>
        <w:t>Apply SRE disciplines—define SLIs/SLOs and manage error budgets to balance reliability and change velocity.</w:t>
      </w:r>
    </w:p>
    <w:p w14:paraId="10D1BAA2" w14:textId="77777777" w:rsidR="00C56D2F" w:rsidRDefault="00000000">
      <w:pPr>
        <w:pStyle w:val="ListBullet"/>
      </w:pPr>
      <w:r>
        <w:t>Conduct semi-annual DR/BCP simulations and corrective follow-ups.</w:t>
      </w:r>
    </w:p>
    <w:p w14:paraId="58F1982A" w14:textId="19D4B61F" w:rsidR="00C56D2F" w:rsidRDefault="003A0A8A">
      <w:pPr>
        <w:pStyle w:val="ListBullet"/>
      </w:pPr>
      <w:r>
        <w:t>Enable</w:t>
      </w:r>
      <w:r w:rsidR="00000000">
        <w:t xml:space="preserve"> process optimization; maintain a living Continuous Improvement Register.</w:t>
      </w:r>
    </w:p>
    <w:p w14:paraId="47676FC1" w14:textId="53D660AF" w:rsidR="00C56D2F" w:rsidRDefault="00000000">
      <w:pPr>
        <w:pStyle w:val="ListBullet"/>
      </w:pPr>
      <w:r>
        <w:t>Publish version-controlled runbooks and diagnostics in a central knowledge base.</w:t>
      </w:r>
      <w:r w:rsidR="003A0A8A">
        <w:t xml:space="preserve"> </w:t>
      </w:r>
      <w:r w:rsidR="003A0A8A">
        <w:t xml:space="preserve">(e.g., </w:t>
      </w:r>
      <w:r w:rsidR="003A0A8A">
        <w:t xml:space="preserve">CMDB / Confluence) </w:t>
      </w:r>
    </w:p>
    <w:p w14:paraId="6637198D" w14:textId="77777777" w:rsidR="00C56D2F" w:rsidRDefault="00000000">
      <w:pPr>
        <w:pStyle w:val="ListBullet"/>
      </w:pPr>
      <w:r>
        <w:t>Hold quarterly operational reviews with cross-functional stakeholders and vendor partners.</w:t>
      </w:r>
    </w:p>
    <w:p w14:paraId="6ADC1947" w14:textId="77777777" w:rsidR="00C56D2F" w:rsidRDefault="00000000">
      <w:pPr>
        <w:pStyle w:val="ListBullet"/>
      </w:pPr>
      <w:r>
        <w:t>Benchmark service performance against industry peers for continuous improvement.</w:t>
      </w:r>
    </w:p>
    <w:p w14:paraId="18C29794" w14:textId="77777777" w:rsidR="00C56D2F" w:rsidRDefault="00000000">
      <w:pPr>
        <w:pStyle w:val="Heading2"/>
      </w:pPr>
      <w:r>
        <w:t>2. Infrastructure Architecture &amp; Cloud Strategy</w:t>
      </w:r>
    </w:p>
    <w:p w14:paraId="7C3DDA0F" w14:textId="77777777" w:rsidR="00C56D2F" w:rsidRDefault="00000000">
      <w:pPr>
        <w:pStyle w:val="Heading3"/>
      </w:pPr>
      <w:r>
        <w:t>2.1 Hybrid Infrastructure Design &amp; Management</w:t>
      </w:r>
    </w:p>
    <w:p w14:paraId="6BE374B9" w14:textId="77777777" w:rsidR="00C56D2F" w:rsidRDefault="00000000" w:rsidP="00536D9C">
      <w:pPr>
        <w:pStyle w:val="Heading4"/>
      </w:pPr>
      <w:r>
        <w:t>Operational / Tactical Solutions</w:t>
      </w:r>
    </w:p>
    <w:p w14:paraId="1001C00A" w14:textId="77777777" w:rsidR="00C56D2F" w:rsidRDefault="00000000">
      <w:pPr>
        <w:pStyle w:val="ListBullet"/>
      </w:pPr>
      <w:r>
        <w:t xml:space="preserve">Operate hybrid environments across AWS/Azure </w:t>
      </w:r>
      <w:proofErr w:type="gramStart"/>
      <w:r>
        <w:t>and on‑prem</w:t>
      </w:r>
      <w:proofErr w:type="gramEnd"/>
      <w:r>
        <w:t xml:space="preserve"> with high availability and data integrity.</w:t>
      </w:r>
    </w:p>
    <w:p w14:paraId="2E310997" w14:textId="77777777" w:rsidR="00C56D2F" w:rsidRDefault="00000000">
      <w:pPr>
        <w:pStyle w:val="ListBullet"/>
      </w:pPr>
      <w:r>
        <w:t>Manage lifecycle: capacity planning, procurement, deployment, refresh, and decommission aligned to budgets.</w:t>
      </w:r>
    </w:p>
    <w:p w14:paraId="2A49A40C" w14:textId="77777777" w:rsidR="00C56D2F" w:rsidRDefault="00000000">
      <w:pPr>
        <w:pStyle w:val="ListBullet"/>
      </w:pPr>
      <w:r>
        <w:t>Engineer enterprise network (SD‑WAN, VPN, firewalls) and storage across data centers and clouds.</w:t>
      </w:r>
    </w:p>
    <w:p w14:paraId="6627310E" w14:textId="4801640B" w:rsidR="00C56D2F" w:rsidRDefault="00000000">
      <w:pPr>
        <w:pStyle w:val="ListBullet"/>
      </w:pPr>
      <w:r>
        <w:t>Document topology, redundancy, and backup/recovery configurations for all global sites.</w:t>
      </w:r>
      <w:r w:rsidR="003A0A8A">
        <w:t xml:space="preserve"> Including single points of failure out to the access layer / edge. </w:t>
      </w:r>
    </w:p>
    <w:p w14:paraId="0891D7FB" w14:textId="41CBF2A6" w:rsidR="00C56D2F" w:rsidRDefault="00000000">
      <w:pPr>
        <w:pStyle w:val="ListBullet"/>
      </w:pPr>
      <w:r>
        <w:t>Implement Infrastructure‑as‑Code (IaC) and policy‑as‑code for consistent, auditable provisioning.</w:t>
      </w:r>
      <w:r w:rsidR="00081B3D">
        <w:t xml:space="preserve"> (Cloud) </w:t>
      </w:r>
    </w:p>
    <w:p w14:paraId="5E176F41" w14:textId="77777777" w:rsidR="00C56D2F" w:rsidRDefault="00000000">
      <w:pPr>
        <w:pStyle w:val="ListBullet"/>
      </w:pPr>
      <w:r>
        <w:t>Execute structured refresh cycles for servers, storage, and network tied to performance and ROI.</w:t>
      </w:r>
    </w:p>
    <w:p w14:paraId="4413FDDC" w14:textId="77777777" w:rsidR="00C56D2F" w:rsidRDefault="00000000">
      <w:pPr>
        <w:pStyle w:val="ListBullet"/>
      </w:pPr>
      <w:r>
        <w:t>Integrate sustainability: energy efficiency metrics, asset reuse, e‑waste governance.</w:t>
      </w:r>
    </w:p>
    <w:p w14:paraId="4DFEB451" w14:textId="77777777" w:rsidR="00C56D2F" w:rsidRDefault="00000000">
      <w:pPr>
        <w:pStyle w:val="ListBullet"/>
      </w:pPr>
      <w:r>
        <w:t>Coordinate with Finance/Procurement on timing, TCO, and capital planning.</w:t>
      </w:r>
    </w:p>
    <w:p w14:paraId="3F5867A2" w14:textId="77777777" w:rsidR="00C56D2F" w:rsidRDefault="00000000" w:rsidP="00536D9C">
      <w:pPr>
        <w:pStyle w:val="Heading4"/>
      </w:pPr>
      <w:r>
        <w:t>Strategic Alignment / Forward-Looking Recommendations</w:t>
      </w:r>
    </w:p>
    <w:p w14:paraId="3D8C9462" w14:textId="77777777" w:rsidR="00C56D2F" w:rsidRDefault="00000000">
      <w:pPr>
        <w:pStyle w:val="ListBullet"/>
      </w:pPr>
      <w:r>
        <w:t>Publish a 3–</w:t>
      </w:r>
      <w:proofErr w:type="gramStart"/>
      <w:r>
        <w:t>5 year</w:t>
      </w:r>
      <w:proofErr w:type="gramEnd"/>
      <w:r>
        <w:t xml:space="preserve"> cloud/infrastructure modernization roadmap aligned to digital transformation.</w:t>
      </w:r>
    </w:p>
    <w:p w14:paraId="552547F8" w14:textId="77777777" w:rsidR="00C56D2F" w:rsidRDefault="00000000">
      <w:pPr>
        <w:pStyle w:val="ListBullet"/>
      </w:pPr>
      <w:r>
        <w:t>Stand up an architecture review board to validate designs for cost, security, and resilience objectives.</w:t>
      </w:r>
    </w:p>
    <w:p w14:paraId="1246E32B" w14:textId="77777777" w:rsidR="00C56D2F" w:rsidRDefault="00000000">
      <w:pPr>
        <w:pStyle w:val="ListBullet"/>
      </w:pPr>
      <w:r>
        <w:t>Adopt data‑driven capacity forecasting for compute, network, and storage growth.</w:t>
      </w:r>
    </w:p>
    <w:p w14:paraId="44859594" w14:textId="543A59F8" w:rsidR="00C56D2F" w:rsidRDefault="00007D09">
      <w:pPr>
        <w:pStyle w:val="ListBullet"/>
      </w:pPr>
      <w:r>
        <w:lastRenderedPageBreak/>
        <w:t xml:space="preserve">Work with </w:t>
      </w:r>
      <w:proofErr w:type="spellStart"/>
      <w:r>
        <w:t>DevSecOps</w:t>
      </w:r>
      <w:proofErr w:type="spellEnd"/>
      <w:r>
        <w:t xml:space="preserve"> teams to e</w:t>
      </w:r>
      <w:r w:rsidR="00000000">
        <w:t>xpand containerization and microservices to accelerate deployment and portability.</w:t>
      </w:r>
    </w:p>
    <w:p w14:paraId="53C82801" w14:textId="507EFA25" w:rsidR="00C56D2F" w:rsidRDefault="00000000">
      <w:pPr>
        <w:pStyle w:val="ListBullet"/>
      </w:pPr>
      <w:r>
        <w:t xml:space="preserve">Adopt a governed </w:t>
      </w:r>
      <w:r w:rsidR="00007D09">
        <w:t xml:space="preserve">hybrid or </w:t>
      </w:r>
      <w:r>
        <w:t xml:space="preserve">multi‑cloud model </w:t>
      </w:r>
      <w:r w:rsidR="00007D09">
        <w:t>(</w:t>
      </w:r>
      <w:r>
        <w:t>with centralized policies and workload portability</w:t>
      </w:r>
      <w:r w:rsidR="00007D09">
        <w:t>)</w:t>
      </w:r>
      <w:r>
        <w:t>.</w:t>
      </w:r>
      <w:r w:rsidR="00007D09">
        <w:t xml:space="preserve"> While protecting vital manufacturing production capabilities within the 4 walls of the plant environment. </w:t>
      </w:r>
    </w:p>
    <w:p w14:paraId="44688E73" w14:textId="77777777" w:rsidR="00C56D2F" w:rsidRDefault="00000000">
      <w:pPr>
        <w:pStyle w:val="ListBullet"/>
      </w:pPr>
      <w:r>
        <w:t>Embed infrastructure planning into annual strategic planning and capital budgets.</w:t>
      </w:r>
    </w:p>
    <w:p w14:paraId="7A2D9D01" w14:textId="77777777" w:rsidR="00C56D2F" w:rsidRDefault="00000000" w:rsidP="00536D9C">
      <w:pPr>
        <w:pStyle w:val="Heading4"/>
      </w:pPr>
      <w:r>
        <w:t>Best Practices</w:t>
      </w:r>
    </w:p>
    <w:p w14:paraId="1CA34954" w14:textId="77777777" w:rsidR="00C56D2F" w:rsidRDefault="00000000">
      <w:pPr>
        <w:pStyle w:val="ListBullet"/>
      </w:pPr>
      <w:r>
        <w:t>Enforce configuration baselines; automate compliance drift detection.</w:t>
      </w:r>
    </w:p>
    <w:p w14:paraId="3F40CE05" w14:textId="0813A0AC" w:rsidR="00C56D2F" w:rsidRDefault="00000000">
      <w:pPr>
        <w:pStyle w:val="ListBullet"/>
      </w:pPr>
      <w:r>
        <w:t>Run annual resilience</w:t>
      </w:r>
      <w:r w:rsidR="00C558BC">
        <w:t xml:space="preserve"> (load and stress)</w:t>
      </w:r>
      <w:r>
        <w:t xml:space="preserve"> </w:t>
      </w:r>
      <w:proofErr w:type="spellStart"/>
      <w:r>
        <w:t>and</w:t>
      </w:r>
      <w:proofErr w:type="spellEnd"/>
      <w:r>
        <w:t xml:space="preserve"> failover testing across data centers and cloud services.</w:t>
      </w:r>
      <w:r w:rsidR="00C558BC">
        <w:t xml:space="preserve"> </w:t>
      </w:r>
    </w:p>
    <w:p w14:paraId="342C59A1" w14:textId="77777777" w:rsidR="00C56D2F" w:rsidRDefault="00000000">
      <w:pPr>
        <w:pStyle w:val="ListBullet"/>
      </w:pPr>
      <w:r>
        <w:t>Implement unified observability across on‑prem and cloud (logs, metrics, traces).</w:t>
      </w:r>
    </w:p>
    <w:p w14:paraId="247737BA" w14:textId="77777777" w:rsidR="00C56D2F" w:rsidRDefault="00000000">
      <w:pPr>
        <w:pStyle w:val="ListBullet"/>
      </w:pPr>
      <w:r>
        <w:t>Conduct quarterly architecture compliance audits and publish reference architectures.</w:t>
      </w:r>
    </w:p>
    <w:p w14:paraId="0CA1A3EE" w14:textId="77777777" w:rsidR="00C56D2F" w:rsidRDefault="00000000">
      <w:pPr>
        <w:pStyle w:val="ListBullet"/>
      </w:pPr>
      <w:r>
        <w:t>Maintain a technology catalog and roadmaps for transparency and reuse.</w:t>
      </w:r>
    </w:p>
    <w:p w14:paraId="301A8E45" w14:textId="77777777" w:rsidR="00C56D2F" w:rsidRDefault="00000000">
      <w:pPr>
        <w:pStyle w:val="Heading2"/>
      </w:pPr>
      <w:r>
        <w:t>3. Cybersecurity &amp; Compliance</w:t>
      </w:r>
    </w:p>
    <w:p w14:paraId="05D0B860" w14:textId="77777777" w:rsidR="00C56D2F" w:rsidRDefault="00000000">
      <w:pPr>
        <w:pStyle w:val="Heading3"/>
      </w:pPr>
      <w:r>
        <w:t>3.1 Security Governance, Risk &amp; Compliance (GRC)</w:t>
      </w:r>
    </w:p>
    <w:p w14:paraId="333DDD0B" w14:textId="77777777" w:rsidR="00C56D2F" w:rsidRDefault="00000000" w:rsidP="00536D9C">
      <w:pPr>
        <w:pStyle w:val="Heading4"/>
      </w:pPr>
      <w:r>
        <w:t>Operational / Tactical Solutions</w:t>
      </w:r>
    </w:p>
    <w:p w14:paraId="6755C23D" w14:textId="77777777" w:rsidR="00C56D2F" w:rsidRDefault="00000000">
      <w:pPr>
        <w:pStyle w:val="ListBullet"/>
      </w:pPr>
      <w:r>
        <w:t>Enforce enterprise security policies for identity, encryption, data privacy, and access control across all platforms.</w:t>
      </w:r>
    </w:p>
    <w:p w14:paraId="600996CB" w14:textId="717A8A7E" w:rsidR="00C56D2F" w:rsidRDefault="00000000">
      <w:pPr>
        <w:pStyle w:val="ListBullet"/>
      </w:pPr>
      <w:r>
        <w:t>Operate continuous vulnerability management</w:t>
      </w:r>
      <w:r w:rsidR="00C558BC">
        <w:t xml:space="preserve"> (CVM) as opposed to periodic </w:t>
      </w:r>
      <w:proofErr w:type="gramStart"/>
      <w:r w:rsidR="00C558BC">
        <w:t xml:space="preserve">scanning, </w:t>
      </w:r>
      <w:r>
        <w:t xml:space="preserve"> with</w:t>
      </w:r>
      <w:proofErr w:type="gramEnd"/>
      <w:r w:rsidR="00C558BC">
        <w:t xml:space="preserve"> controlled,</w:t>
      </w:r>
      <w:r>
        <w:t xml:space="preserve"> automated patching across cloud </w:t>
      </w:r>
      <w:proofErr w:type="gramStart"/>
      <w:r>
        <w:t>and on‑prem</w:t>
      </w:r>
      <w:proofErr w:type="gramEnd"/>
      <w:r>
        <w:t xml:space="preserve"> assets.</w:t>
      </w:r>
    </w:p>
    <w:p w14:paraId="6AEAD484" w14:textId="610C8F0A" w:rsidR="00C56D2F" w:rsidRDefault="00000000">
      <w:pPr>
        <w:pStyle w:val="ListBullet"/>
      </w:pPr>
      <w:r>
        <w:t>Integrate SOC, SIEM</w:t>
      </w:r>
      <w:r w:rsidR="00C558BC">
        <w:t xml:space="preserve"> (for monitoring)</w:t>
      </w:r>
      <w:r>
        <w:t>, and SOAR</w:t>
      </w:r>
      <w:r w:rsidR="00C558BC">
        <w:t xml:space="preserve"> (for </w:t>
      </w:r>
      <w:r w:rsidR="00C558BC">
        <w:t>orchestrated response</w:t>
      </w:r>
      <w:r w:rsidR="00C558BC">
        <w:t xml:space="preserve">) </w:t>
      </w:r>
      <w:r>
        <w:t>24x7</w:t>
      </w:r>
      <w:r w:rsidR="00C558BC">
        <w:t xml:space="preserve">. </w:t>
      </w:r>
    </w:p>
    <w:p w14:paraId="4DE7C5F0" w14:textId="38916E9E" w:rsidR="00C56D2F" w:rsidRDefault="00000000">
      <w:pPr>
        <w:pStyle w:val="ListBullet"/>
      </w:pPr>
      <w:r>
        <w:t>Coordinate with MSSPs; maintain clear runbooks and escalation paths for major incidents.</w:t>
      </w:r>
      <w:r w:rsidR="00C558BC">
        <w:t xml:space="preserve"> (for an outsourced or augmented model) </w:t>
      </w:r>
    </w:p>
    <w:p w14:paraId="4FA156F0" w14:textId="2A5660CD" w:rsidR="00C56D2F" w:rsidRDefault="00000000">
      <w:pPr>
        <w:pStyle w:val="ListBullet"/>
      </w:pPr>
      <w:r>
        <w:t>Conduct periodic risk assessments, penetration tests, and regulatory audits</w:t>
      </w:r>
      <w:r w:rsidR="00D1143C">
        <w:t xml:space="preserve">. </w:t>
      </w:r>
    </w:p>
    <w:p w14:paraId="7B910B5A" w14:textId="4590DF79" w:rsidR="00C56D2F" w:rsidRDefault="00000000">
      <w:pPr>
        <w:pStyle w:val="ListBullet"/>
      </w:pPr>
      <w:r>
        <w:t>Deploy Cloud Security Posture Management (CSPM)</w:t>
      </w:r>
      <w:r w:rsidR="00D1143C">
        <w:t xml:space="preserve"> tools</w:t>
      </w:r>
      <w:r>
        <w:t xml:space="preserve"> and threat intel correlation to </w:t>
      </w:r>
      <w:r w:rsidR="00D1143C">
        <w:t xml:space="preserve">link related threat data from multiple sources to </w:t>
      </w:r>
      <w:r>
        <w:t>reduce exposure.</w:t>
      </w:r>
      <w:r w:rsidR="00D1143C">
        <w:t xml:space="preserve"> </w:t>
      </w:r>
    </w:p>
    <w:p w14:paraId="066D778E" w14:textId="0EA8779B" w:rsidR="00C56D2F" w:rsidRDefault="00000000">
      <w:pPr>
        <w:pStyle w:val="ListBullet"/>
      </w:pPr>
      <w:r>
        <w:t xml:space="preserve">Maintain incident response playbooks; perform after‑action reviews with </w:t>
      </w:r>
      <w:r w:rsidR="00D1143C">
        <w:t xml:space="preserve">blameless </w:t>
      </w:r>
      <w:proofErr w:type="gramStart"/>
      <w:r w:rsidR="00D1143C">
        <w:t>post mortems</w:t>
      </w:r>
      <w:proofErr w:type="gramEnd"/>
      <w:r w:rsidR="00D1143C">
        <w:t xml:space="preserve"> and </w:t>
      </w:r>
      <w:r>
        <w:t>corrective actions tracked.</w:t>
      </w:r>
      <w:r w:rsidR="00D1143C">
        <w:t xml:space="preserve"> </w:t>
      </w:r>
    </w:p>
    <w:p w14:paraId="30903FCE" w14:textId="77777777" w:rsidR="00C56D2F" w:rsidRDefault="00000000" w:rsidP="00536D9C">
      <w:pPr>
        <w:pStyle w:val="Heading4"/>
      </w:pPr>
      <w:r>
        <w:t>Strategic Alignment / Forward-Looking Recommendations</w:t>
      </w:r>
    </w:p>
    <w:p w14:paraId="28EC84AC" w14:textId="77777777" w:rsidR="00C56D2F" w:rsidRDefault="00000000">
      <w:pPr>
        <w:pStyle w:val="ListBullet"/>
      </w:pPr>
      <w:r>
        <w:t>Adopt a Zero Trust roadmap across identity, device, network, application, and data layers.</w:t>
      </w:r>
    </w:p>
    <w:p w14:paraId="14AA953A" w14:textId="77777777" w:rsidR="00C56D2F" w:rsidRDefault="00000000">
      <w:pPr>
        <w:pStyle w:val="ListBullet"/>
      </w:pPr>
      <w:r>
        <w:t>Implement compliance‑as‑code and guardrails in DevSecOps pipelines for continuous enforcement.</w:t>
      </w:r>
    </w:p>
    <w:p w14:paraId="6F2B8445" w14:textId="77777777" w:rsidR="00C56D2F" w:rsidRDefault="00000000">
      <w:pPr>
        <w:pStyle w:val="ListBullet"/>
      </w:pPr>
      <w:r>
        <w:t>Define cybersecurity KPIs (MTTD, MTTR, incident recurrence) and link to executive dashboards.</w:t>
      </w:r>
    </w:p>
    <w:p w14:paraId="737E3FBA" w14:textId="77777777" w:rsidR="00C56D2F" w:rsidRDefault="00000000">
      <w:pPr>
        <w:pStyle w:val="ListBullet"/>
      </w:pPr>
      <w:r>
        <w:t>Align cyber strategy with enterprise risk appetite and legal/regulatory obligations globally.</w:t>
      </w:r>
    </w:p>
    <w:p w14:paraId="6CB1C3D5" w14:textId="77777777" w:rsidR="00C56D2F" w:rsidRDefault="00000000">
      <w:pPr>
        <w:pStyle w:val="ListBullet"/>
      </w:pPr>
      <w:r>
        <w:t>Embed security architecture reviews in all major programs and supplier onboarding.</w:t>
      </w:r>
    </w:p>
    <w:p w14:paraId="7AB2A67B" w14:textId="77777777" w:rsidR="00C56D2F" w:rsidRDefault="00000000" w:rsidP="00536D9C">
      <w:pPr>
        <w:pStyle w:val="Heading4"/>
      </w:pPr>
      <w:r>
        <w:lastRenderedPageBreak/>
        <w:t>Best Practices</w:t>
      </w:r>
    </w:p>
    <w:p w14:paraId="32DD37F1" w14:textId="77777777" w:rsidR="00C56D2F" w:rsidRDefault="00000000">
      <w:pPr>
        <w:pStyle w:val="ListBullet"/>
      </w:pPr>
      <w:r>
        <w:t>Run semi‑annual tabletop exercises and independent third‑party assessments.</w:t>
      </w:r>
    </w:p>
    <w:p w14:paraId="6BB7D457" w14:textId="77777777" w:rsidR="00C56D2F" w:rsidRDefault="00000000">
      <w:pPr>
        <w:pStyle w:val="ListBullet"/>
      </w:pPr>
      <w:r>
        <w:t>Codify shared responsibility models for cloud and vendor‑managed services.</w:t>
      </w:r>
    </w:p>
    <w:p w14:paraId="4785D34F" w14:textId="77777777" w:rsidR="00C56D2F" w:rsidRDefault="00000000">
      <w:pPr>
        <w:pStyle w:val="ListBullet"/>
      </w:pPr>
      <w:r>
        <w:t xml:space="preserve">Perform root cause analysis after </w:t>
      </w:r>
      <w:proofErr w:type="gramStart"/>
      <w:r>
        <w:t>incidents;</w:t>
      </w:r>
      <w:proofErr w:type="gramEnd"/>
      <w:r>
        <w:t xml:space="preserve"> update controls and training accordingly.</w:t>
      </w:r>
    </w:p>
    <w:p w14:paraId="7408561D" w14:textId="77777777" w:rsidR="00C56D2F" w:rsidRDefault="00000000">
      <w:pPr>
        <w:pStyle w:val="Heading2"/>
      </w:pPr>
      <w:r>
        <w:t>4. Leadership &amp; Strategic Governance</w:t>
      </w:r>
    </w:p>
    <w:p w14:paraId="7EDC7D42" w14:textId="77777777" w:rsidR="00C56D2F" w:rsidRDefault="00000000">
      <w:pPr>
        <w:pStyle w:val="Heading3"/>
      </w:pPr>
      <w:r>
        <w:t>4.1 Establish Global IT Leadership and Governance Structure</w:t>
      </w:r>
    </w:p>
    <w:p w14:paraId="6BBE4E60" w14:textId="77777777" w:rsidR="00C56D2F" w:rsidRDefault="00000000" w:rsidP="00536D9C">
      <w:pPr>
        <w:pStyle w:val="Heading4"/>
      </w:pPr>
      <w:r>
        <w:t>Operational / Tactical Solutions</w:t>
      </w:r>
    </w:p>
    <w:p w14:paraId="7ED1AD63" w14:textId="77777777" w:rsidR="00C56D2F" w:rsidRDefault="00000000">
      <w:pPr>
        <w:pStyle w:val="ListBullet"/>
      </w:pPr>
      <w:r>
        <w:t>Define governance structures and RACI for infrastructure, operations, and security decision‑making.</w:t>
      </w:r>
    </w:p>
    <w:p w14:paraId="4CF59A30" w14:textId="77777777" w:rsidR="00C56D2F" w:rsidRDefault="00000000">
      <w:pPr>
        <w:pStyle w:val="ListBullet"/>
      </w:pPr>
      <w:r>
        <w:t>Lead cross‑functional steering committees aligning IT priorities to business outcomes.</w:t>
      </w:r>
    </w:p>
    <w:p w14:paraId="0528FA95" w14:textId="77777777" w:rsidR="00C56D2F" w:rsidRDefault="00000000">
      <w:pPr>
        <w:pStyle w:val="ListBullet"/>
      </w:pPr>
      <w:r>
        <w:t>Maintain a balanced initiative portfolio across resilience, cost optimization, and innovation.</w:t>
      </w:r>
    </w:p>
    <w:p w14:paraId="1021E320" w14:textId="77777777" w:rsidR="00C56D2F" w:rsidRDefault="00000000">
      <w:pPr>
        <w:pStyle w:val="ListBullet"/>
      </w:pPr>
      <w:r>
        <w:t>Embed IT program governance with enterprise PMO standards, artifacts, and stage gates.</w:t>
      </w:r>
    </w:p>
    <w:p w14:paraId="7F12F08D" w14:textId="77777777" w:rsidR="00C56D2F" w:rsidRDefault="00000000">
      <w:pPr>
        <w:pStyle w:val="ListBullet"/>
      </w:pPr>
      <w:r>
        <w:t>Integrate quarterly strategy execution reviews with Finance and Operations leadership.</w:t>
      </w:r>
    </w:p>
    <w:p w14:paraId="14A35EB1" w14:textId="4A989E1B" w:rsidR="00C56D2F" w:rsidRDefault="00000000">
      <w:pPr>
        <w:pStyle w:val="ListBullet"/>
      </w:pPr>
      <w:r>
        <w:t>Publish executive dashboards connecting IT results (KPIs) to business performance and risk.</w:t>
      </w:r>
      <w:r w:rsidR="00E5213C">
        <w:t xml:space="preserve"> (lost units, overtime, quality spills, customer facing impact, etc.) </w:t>
      </w:r>
    </w:p>
    <w:p w14:paraId="5A745D61" w14:textId="0F34233F" w:rsidR="00C56D2F" w:rsidRDefault="00000000">
      <w:pPr>
        <w:pStyle w:val="ListBullet"/>
      </w:pPr>
      <w:r>
        <w:t xml:space="preserve">Translate strategy into OKRs </w:t>
      </w:r>
      <w:r w:rsidR="00767EA4">
        <w:t xml:space="preserve">(objectives and key results) </w:t>
      </w:r>
      <w:r>
        <w:t>and cascade down to team and vendor objectives.</w:t>
      </w:r>
      <w:r w:rsidR="00767EA4">
        <w:t xml:space="preserve"> </w:t>
      </w:r>
    </w:p>
    <w:p w14:paraId="3D2F2B1B" w14:textId="77777777" w:rsidR="00C56D2F" w:rsidRDefault="00000000" w:rsidP="00536D9C">
      <w:pPr>
        <w:pStyle w:val="Heading4"/>
      </w:pPr>
      <w:r>
        <w:t>Strategic Alignment / Forward-Looking Recommendations</w:t>
      </w:r>
    </w:p>
    <w:p w14:paraId="55956E9E" w14:textId="1D144980" w:rsidR="00C56D2F" w:rsidRDefault="00000000">
      <w:pPr>
        <w:pStyle w:val="ListBullet"/>
      </w:pPr>
      <w:r>
        <w:t>Set enterprise technology north stars</w:t>
      </w:r>
      <w:r w:rsidR="004D1129">
        <w:t xml:space="preserve"> (</w:t>
      </w:r>
      <w:r>
        <w:t>Availability, Security, Agility</w:t>
      </w:r>
      <w:r w:rsidR="004D1129">
        <w:t xml:space="preserve">) </w:t>
      </w:r>
      <w:r>
        <w:t>to guide decisions.</w:t>
      </w:r>
    </w:p>
    <w:p w14:paraId="60C18BFF" w14:textId="77777777" w:rsidR="00C56D2F" w:rsidRDefault="00000000">
      <w:pPr>
        <w:pStyle w:val="ListBullet"/>
      </w:pPr>
      <w:r>
        <w:t>Maintain a rolling three‑year IT roadmap synchronized to corporate strategy and budget cycles.</w:t>
      </w:r>
    </w:p>
    <w:p w14:paraId="7C24A55A" w14:textId="77777777" w:rsidR="00C56D2F" w:rsidRDefault="00000000">
      <w:pPr>
        <w:pStyle w:val="ListBullet"/>
      </w:pPr>
      <w:r>
        <w:t>Stand up an innovation council to evaluate and prioritize emerging technology investments.</w:t>
      </w:r>
    </w:p>
    <w:p w14:paraId="24E8673B" w14:textId="77777777" w:rsidR="00C56D2F" w:rsidRDefault="00000000">
      <w:pPr>
        <w:pStyle w:val="ListBullet"/>
      </w:pPr>
      <w:r>
        <w:t>Institutionalize architectural principles for standardization, reuse, and risk reduction.</w:t>
      </w:r>
    </w:p>
    <w:p w14:paraId="02CD0DE4" w14:textId="77777777" w:rsidR="00C56D2F" w:rsidRDefault="00000000">
      <w:pPr>
        <w:pStyle w:val="ListBullet"/>
      </w:pPr>
      <w:r>
        <w:t>Establish transparent governance channels with executive sponsors and business unit leaders.</w:t>
      </w:r>
    </w:p>
    <w:p w14:paraId="0F9A93EF" w14:textId="77777777" w:rsidR="00C56D2F" w:rsidRDefault="00000000" w:rsidP="00536D9C">
      <w:pPr>
        <w:pStyle w:val="Heading4"/>
      </w:pPr>
      <w:r>
        <w:t>Best Practices</w:t>
      </w:r>
    </w:p>
    <w:p w14:paraId="3EBB690A" w14:textId="0821DE81" w:rsidR="00C56D2F" w:rsidRDefault="00000000">
      <w:pPr>
        <w:pStyle w:val="ListBullet"/>
      </w:pPr>
      <w:r>
        <w:t>Use balanced scorecards</w:t>
      </w:r>
      <w:r w:rsidR="00D61770">
        <w:t xml:space="preserve"> (activity vs. goals)</w:t>
      </w:r>
      <w:r>
        <w:t xml:space="preserve"> for governance effectiveness and outcome tracking.</w:t>
      </w:r>
      <w:r w:rsidR="00D61770">
        <w:t xml:space="preserve"> </w:t>
      </w:r>
    </w:p>
    <w:p w14:paraId="36B97F4C" w14:textId="77777777" w:rsidR="00C56D2F" w:rsidRDefault="00000000">
      <w:pPr>
        <w:pStyle w:val="ListBullet"/>
      </w:pPr>
      <w:r>
        <w:t>Conduct quarterly risk, compliance, and performance reviews with action plans.</w:t>
      </w:r>
    </w:p>
    <w:p w14:paraId="05555836" w14:textId="77777777" w:rsidR="00C56D2F" w:rsidRDefault="00000000">
      <w:pPr>
        <w:pStyle w:val="ListBullet"/>
      </w:pPr>
      <w:r>
        <w:t>Maintain a governance decision log and artifact repository for auditability.</w:t>
      </w:r>
    </w:p>
    <w:p w14:paraId="3625BBAD" w14:textId="77777777" w:rsidR="00C56D2F" w:rsidRDefault="00000000">
      <w:pPr>
        <w:pStyle w:val="Heading2"/>
      </w:pPr>
      <w:r>
        <w:lastRenderedPageBreak/>
        <w:t>5. People &amp; Vendor Management</w:t>
      </w:r>
    </w:p>
    <w:p w14:paraId="609DAE31" w14:textId="77777777" w:rsidR="00C56D2F" w:rsidRDefault="00000000">
      <w:pPr>
        <w:pStyle w:val="Heading3"/>
      </w:pPr>
      <w:r>
        <w:t>5.1 Build, Develop, and Empower a Global IT Team</w:t>
      </w:r>
    </w:p>
    <w:p w14:paraId="1C307F8B" w14:textId="77777777" w:rsidR="00C56D2F" w:rsidRDefault="00000000" w:rsidP="00536D9C">
      <w:pPr>
        <w:pStyle w:val="Heading4"/>
      </w:pPr>
      <w:r>
        <w:t>Operational / Tactical Solutions</w:t>
      </w:r>
    </w:p>
    <w:p w14:paraId="0B99C700" w14:textId="77777777" w:rsidR="00C56D2F" w:rsidRDefault="00000000">
      <w:pPr>
        <w:pStyle w:val="ListBullet"/>
      </w:pPr>
      <w:r>
        <w:t>Run competency assessments; align development plans to ITIL, cloud, security, and platform certifications.</w:t>
      </w:r>
    </w:p>
    <w:p w14:paraId="2573F3C3" w14:textId="77777777" w:rsidR="00C56D2F" w:rsidRDefault="00000000">
      <w:pPr>
        <w:pStyle w:val="ListBullet"/>
      </w:pPr>
      <w:r>
        <w:t>Implement follow‑the‑sun coverage with equitable rotations and codified handoff standards.</w:t>
      </w:r>
    </w:p>
    <w:p w14:paraId="6C5B527C" w14:textId="77777777" w:rsidR="00C56D2F" w:rsidRDefault="00000000">
      <w:pPr>
        <w:pStyle w:val="ListBullet"/>
      </w:pPr>
      <w:r>
        <w:t>Standardize onboarding, cross‑training, and knowledge capture/transfer across regions.</w:t>
      </w:r>
    </w:p>
    <w:p w14:paraId="0678464D" w14:textId="77777777" w:rsidR="00C56D2F" w:rsidRDefault="00000000">
      <w:pPr>
        <w:pStyle w:val="ListBullet"/>
      </w:pPr>
      <w:r>
        <w:t>Hold recurring 1:1s and performance check‑ins; document goals, progress, and feedback.</w:t>
      </w:r>
    </w:p>
    <w:p w14:paraId="4F2DB723" w14:textId="77777777" w:rsidR="00C56D2F" w:rsidRDefault="00000000">
      <w:pPr>
        <w:pStyle w:val="ListBullet"/>
      </w:pPr>
      <w:r>
        <w:t>Establish mentorship and stretch assignments to develop emerging leaders and SMEs.</w:t>
      </w:r>
    </w:p>
    <w:p w14:paraId="27D79847" w14:textId="77777777" w:rsidR="00C56D2F" w:rsidRDefault="00000000">
      <w:pPr>
        <w:pStyle w:val="ListBullet"/>
      </w:pPr>
      <w:r>
        <w:t xml:space="preserve">Define succession plans for critical technical and leadership </w:t>
      </w:r>
      <w:proofErr w:type="gramStart"/>
      <w:r>
        <w:t>roles;</w:t>
      </w:r>
      <w:proofErr w:type="gramEnd"/>
      <w:r>
        <w:t xml:space="preserve"> test via acting assignments.</w:t>
      </w:r>
    </w:p>
    <w:p w14:paraId="14F9981D" w14:textId="77777777" w:rsidR="00C56D2F" w:rsidRDefault="00000000">
      <w:pPr>
        <w:pStyle w:val="ListBullet"/>
      </w:pPr>
      <w:r>
        <w:t>Promote a culture of accountability, collaboration, and customer focus.</w:t>
      </w:r>
    </w:p>
    <w:p w14:paraId="464D4C7A" w14:textId="77777777" w:rsidR="00C56D2F" w:rsidRDefault="00000000" w:rsidP="00536D9C">
      <w:pPr>
        <w:pStyle w:val="Heading4"/>
      </w:pPr>
      <w:r>
        <w:t>Strategic Alignment / Forward-Looking Recommendations</w:t>
      </w:r>
    </w:p>
    <w:p w14:paraId="1E7BCA26" w14:textId="77777777" w:rsidR="00C56D2F" w:rsidRDefault="00000000">
      <w:pPr>
        <w:pStyle w:val="ListBullet"/>
      </w:pPr>
      <w:r>
        <w:t>Build workforce plans to forecast skill demand and hiring/training investments.</w:t>
      </w:r>
    </w:p>
    <w:p w14:paraId="0E06E7E1" w14:textId="77777777" w:rsidR="00C56D2F" w:rsidRDefault="00000000">
      <w:pPr>
        <w:pStyle w:val="ListBullet"/>
      </w:pPr>
      <w:r>
        <w:t>Link performance management to business KPIs (uptime, project delivery, security posture).</w:t>
      </w:r>
    </w:p>
    <w:p w14:paraId="39FA4E92" w14:textId="77777777" w:rsidR="00C56D2F" w:rsidRDefault="00000000">
      <w:pPr>
        <w:pStyle w:val="ListBullet"/>
      </w:pPr>
      <w:r>
        <w:t>Partner with HR/Finance to align talent investments with enterprise growth and cost goals.</w:t>
      </w:r>
    </w:p>
    <w:p w14:paraId="52A51AD8" w14:textId="77777777" w:rsidR="00C56D2F" w:rsidRDefault="00000000">
      <w:pPr>
        <w:pStyle w:val="ListBullet"/>
      </w:pPr>
      <w:r>
        <w:t>Advance inclusion and diversity initiatives to broaden leadership representation.</w:t>
      </w:r>
    </w:p>
    <w:p w14:paraId="2303A836" w14:textId="77777777" w:rsidR="00C56D2F" w:rsidRDefault="00000000">
      <w:pPr>
        <w:pStyle w:val="ListBullet"/>
      </w:pPr>
      <w:r>
        <w:t xml:space="preserve">Embed continuous learning </w:t>
      </w:r>
      <w:proofErr w:type="gramStart"/>
      <w:r>
        <w:t>via e‑</w:t>
      </w:r>
      <w:proofErr w:type="gramEnd"/>
      <w:r>
        <w:t>learning, labs, vendor academies, and community of practice.</w:t>
      </w:r>
    </w:p>
    <w:p w14:paraId="5E58EDFE" w14:textId="77777777" w:rsidR="00C56D2F" w:rsidRDefault="00000000" w:rsidP="00536D9C">
      <w:pPr>
        <w:pStyle w:val="Heading4"/>
      </w:pPr>
      <w:r>
        <w:t>Best Practices</w:t>
      </w:r>
    </w:p>
    <w:p w14:paraId="14AF02F7" w14:textId="562C246B" w:rsidR="00C56D2F" w:rsidRDefault="00000000">
      <w:pPr>
        <w:pStyle w:val="ListBullet"/>
      </w:pPr>
      <w:r>
        <w:t xml:space="preserve">Use OKR and GROW </w:t>
      </w:r>
      <w:r w:rsidR="007C5937">
        <w:t xml:space="preserve">(goal, reality, options, way forward) </w:t>
      </w:r>
      <w:r>
        <w:t>frameworks for structured performance and coaching.</w:t>
      </w:r>
    </w:p>
    <w:p w14:paraId="19118178" w14:textId="77777777" w:rsidR="00C56D2F" w:rsidRDefault="00000000">
      <w:pPr>
        <w:pStyle w:val="ListBullet"/>
      </w:pPr>
      <w:r>
        <w:t>Apply 360‑degree feedback and peer reviews for behavioral and leadership growth.</w:t>
      </w:r>
    </w:p>
    <w:p w14:paraId="4FA093DD" w14:textId="77777777" w:rsidR="00C56D2F" w:rsidRDefault="00000000">
      <w:pPr>
        <w:pStyle w:val="ListBullet"/>
      </w:pPr>
      <w:r>
        <w:t>Recognize innovation and service excellence through formal reward programs.</w:t>
      </w:r>
    </w:p>
    <w:p w14:paraId="5E5552C2" w14:textId="77777777" w:rsidR="00C56D2F" w:rsidRDefault="00000000">
      <w:pPr>
        <w:pStyle w:val="ListBullet"/>
      </w:pPr>
      <w:r>
        <w:t>Track team health metrics (engagement, burnout risk) and act on findings.</w:t>
      </w:r>
    </w:p>
    <w:p w14:paraId="0A54D5A4" w14:textId="77777777" w:rsidR="00C56D2F" w:rsidRDefault="00000000">
      <w:pPr>
        <w:pStyle w:val="Heading3"/>
      </w:pPr>
      <w:r>
        <w:t>5.2 Vendor &amp; Managed Services Governance</w:t>
      </w:r>
    </w:p>
    <w:p w14:paraId="73949D09" w14:textId="77777777" w:rsidR="00C56D2F" w:rsidRDefault="00000000" w:rsidP="00536D9C">
      <w:pPr>
        <w:pStyle w:val="Heading4"/>
      </w:pPr>
      <w:r>
        <w:t>Operational / Tactical Solutions</w:t>
      </w:r>
    </w:p>
    <w:p w14:paraId="275965C5" w14:textId="54070993" w:rsidR="00C56D2F" w:rsidRDefault="00000000">
      <w:pPr>
        <w:pStyle w:val="ListBullet"/>
      </w:pPr>
      <w:r>
        <w:t>Maintain a centralized vendor register including SLAs, renewal timelines, compliance status, and risk ratings</w:t>
      </w:r>
      <w:r w:rsidR="007C5937">
        <w:t xml:space="preserve"> (including downstream dependencies). </w:t>
      </w:r>
    </w:p>
    <w:p w14:paraId="2BA20804" w14:textId="77777777" w:rsidR="00C56D2F" w:rsidRDefault="00000000">
      <w:pPr>
        <w:pStyle w:val="ListBullet"/>
      </w:pPr>
      <w:r>
        <w:t>Run quarterly business reviews (QBRs) with scorecards for service, cost, and innovation.</w:t>
      </w:r>
    </w:p>
    <w:p w14:paraId="021A45F1" w14:textId="77777777" w:rsidR="00C56D2F" w:rsidRDefault="00000000">
      <w:pPr>
        <w:pStyle w:val="ListBullet"/>
      </w:pPr>
      <w:r>
        <w:t>Integrate vendor telemetry into ITSM and finance systems for KPI and spend transparency.</w:t>
      </w:r>
    </w:p>
    <w:p w14:paraId="44F9E2C7" w14:textId="77777777" w:rsidR="00C56D2F" w:rsidRDefault="00000000">
      <w:pPr>
        <w:pStyle w:val="ListBullet"/>
      </w:pPr>
      <w:r>
        <w:t>Define escalation pathways and issue management protocols for strategic suppliers.</w:t>
      </w:r>
    </w:p>
    <w:p w14:paraId="417DB6ED" w14:textId="77777777" w:rsidR="00C56D2F" w:rsidRDefault="00000000" w:rsidP="00536D9C">
      <w:pPr>
        <w:pStyle w:val="Heading4"/>
      </w:pPr>
      <w:r>
        <w:lastRenderedPageBreak/>
        <w:t>Strategic Alignment / Forward-Looking Recommendations</w:t>
      </w:r>
    </w:p>
    <w:p w14:paraId="0EDF6948" w14:textId="77777777" w:rsidR="00C56D2F" w:rsidRDefault="00000000">
      <w:pPr>
        <w:pStyle w:val="ListBullet"/>
      </w:pPr>
      <w:r>
        <w:t>Adopt dual‑sourcing to reduce dependency risks and improve negotiation leverage.</w:t>
      </w:r>
    </w:p>
    <w:p w14:paraId="2BD6B810" w14:textId="6FF57C66" w:rsidR="00C56D2F" w:rsidRDefault="00000000">
      <w:pPr>
        <w:pStyle w:val="ListBullet"/>
      </w:pPr>
      <w:r>
        <w:t xml:space="preserve">Align contract incentives </w:t>
      </w:r>
      <w:r w:rsidR="007C5937">
        <w:t xml:space="preserve">and penalties </w:t>
      </w:r>
      <w:r>
        <w:t>to business outcomes (uptime, MTTR, cost savings, innovation pilots).</w:t>
      </w:r>
      <w:r w:rsidR="008D4A36">
        <w:t xml:space="preserve"> </w:t>
      </w:r>
    </w:p>
    <w:p w14:paraId="67600D89" w14:textId="77777777" w:rsidR="00C56D2F" w:rsidRDefault="00000000">
      <w:pPr>
        <w:pStyle w:val="ListBullet"/>
      </w:pPr>
      <w:r>
        <w:t>Co‑develop modernization roadmaps with strategic partners; prioritize value creation.</w:t>
      </w:r>
    </w:p>
    <w:p w14:paraId="6AF424CC" w14:textId="77777777" w:rsidR="00C56D2F" w:rsidRDefault="00000000">
      <w:pPr>
        <w:pStyle w:val="ListBullet"/>
      </w:pPr>
      <w:r>
        <w:t>Fold vendor risk management into enterprise risk and audit frameworks.</w:t>
      </w:r>
    </w:p>
    <w:p w14:paraId="333492C2" w14:textId="77777777" w:rsidR="00C56D2F" w:rsidRDefault="00000000" w:rsidP="00536D9C">
      <w:pPr>
        <w:pStyle w:val="Heading4"/>
      </w:pPr>
      <w:r>
        <w:t>Best Practices</w:t>
      </w:r>
    </w:p>
    <w:p w14:paraId="02EEDEA4" w14:textId="77777777" w:rsidR="00C56D2F" w:rsidRDefault="00000000">
      <w:pPr>
        <w:pStyle w:val="ListBullet"/>
      </w:pPr>
      <w:r>
        <w:t>Use balanced vendor scorecards (performance, innovation, financial impact, risk).</w:t>
      </w:r>
    </w:p>
    <w:p w14:paraId="20DFFBF8" w14:textId="77777777" w:rsidR="00C56D2F" w:rsidRDefault="00000000">
      <w:pPr>
        <w:pStyle w:val="ListBullet"/>
      </w:pPr>
      <w:r>
        <w:t xml:space="preserve">Include exit/transition clauses and knowledge transfer to avoid </w:t>
      </w:r>
      <w:proofErr w:type="gramStart"/>
      <w:r>
        <w:t>lock‑in</w:t>
      </w:r>
      <w:proofErr w:type="gramEnd"/>
      <w:r>
        <w:t>.</w:t>
      </w:r>
    </w:p>
    <w:p w14:paraId="4BD20A06" w14:textId="77777777" w:rsidR="00C56D2F" w:rsidRDefault="00000000">
      <w:pPr>
        <w:pStyle w:val="ListBullet"/>
      </w:pPr>
      <w:r>
        <w:t>Benchmark rates/services annually against market and peer data.</w:t>
      </w:r>
    </w:p>
    <w:p w14:paraId="53D76A1C" w14:textId="70A38005" w:rsidR="00C56D2F" w:rsidRDefault="00000000">
      <w:pPr>
        <w:pStyle w:val="ListBullet"/>
      </w:pPr>
      <w:r>
        <w:t xml:space="preserve">Maintain third‑party security assessments and compliance </w:t>
      </w:r>
      <w:r w:rsidR="008D4A36">
        <w:t>verifications</w:t>
      </w:r>
      <w:r>
        <w:t>.</w:t>
      </w:r>
      <w:r w:rsidR="008D4A36">
        <w:t xml:space="preserve"> </w:t>
      </w:r>
    </w:p>
    <w:p w14:paraId="0A0E9D86" w14:textId="77777777" w:rsidR="00C56D2F" w:rsidRDefault="00000000">
      <w:pPr>
        <w:pStyle w:val="Heading2"/>
      </w:pPr>
      <w:r>
        <w:t>6. Innovation, Transformation &amp; Future-State Planning</w:t>
      </w:r>
    </w:p>
    <w:p w14:paraId="6DBDDFFD" w14:textId="77777777" w:rsidR="00C56D2F" w:rsidRDefault="00000000">
      <w:pPr>
        <w:pStyle w:val="Heading3"/>
      </w:pPr>
      <w:r>
        <w:t>6.1 Digital Transformation &amp; Emerging Technology Adoption</w:t>
      </w:r>
    </w:p>
    <w:p w14:paraId="2846E399" w14:textId="77777777" w:rsidR="00C56D2F" w:rsidRDefault="00000000" w:rsidP="00536D9C">
      <w:pPr>
        <w:pStyle w:val="Heading4"/>
      </w:pPr>
      <w:r>
        <w:t>Operational / Tactical Solutions</w:t>
      </w:r>
    </w:p>
    <w:p w14:paraId="429633A2" w14:textId="77777777" w:rsidR="00C56D2F" w:rsidRDefault="00000000">
      <w:pPr>
        <w:pStyle w:val="ListBullet"/>
      </w:pPr>
      <w:r>
        <w:t>Maintain an innovation pipeline; evaluate and pilot AIOps, RPA, and AI/ML monitoring use cases.</w:t>
      </w:r>
    </w:p>
    <w:p w14:paraId="17479988" w14:textId="77777777" w:rsidR="00C56D2F" w:rsidRDefault="00000000">
      <w:pPr>
        <w:pStyle w:val="ListBullet"/>
      </w:pPr>
      <w:r>
        <w:t>Run time‑boxed innovation sprints with entry/exit criteria and measured outcomes.</w:t>
      </w:r>
    </w:p>
    <w:p w14:paraId="30D9BB6B" w14:textId="77777777" w:rsidR="00C56D2F" w:rsidRDefault="00000000">
      <w:pPr>
        <w:pStyle w:val="ListBullet"/>
      </w:pPr>
      <w:r>
        <w:t>Quantify ROI and value capture (cost avoidance, uptime gain, labor hours saved).</w:t>
      </w:r>
    </w:p>
    <w:p w14:paraId="2BF7B683" w14:textId="77777777" w:rsidR="00C56D2F" w:rsidRDefault="00000000">
      <w:pPr>
        <w:pStyle w:val="ListBullet"/>
      </w:pPr>
      <w:r>
        <w:t>Establish sandbox environments and safe change windows for experimentation.</w:t>
      </w:r>
    </w:p>
    <w:p w14:paraId="592193BC" w14:textId="77777777" w:rsidR="00C56D2F" w:rsidRDefault="00000000">
      <w:pPr>
        <w:pStyle w:val="ListBullet"/>
      </w:pPr>
      <w:r>
        <w:t>Publish post‑pilot reports and scale plans for successful use cases.</w:t>
      </w:r>
    </w:p>
    <w:p w14:paraId="782D6C75" w14:textId="77777777" w:rsidR="00C56D2F" w:rsidRDefault="00000000" w:rsidP="00536D9C">
      <w:pPr>
        <w:pStyle w:val="Heading4"/>
      </w:pPr>
      <w:r>
        <w:t>Strategic Alignment / Forward-Looking Recommendations</w:t>
      </w:r>
    </w:p>
    <w:p w14:paraId="01A6CA8E" w14:textId="77777777" w:rsidR="00C56D2F" w:rsidRDefault="00000000">
      <w:pPr>
        <w:pStyle w:val="ListBullet"/>
      </w:pPr>
      <w:r>
        <w:t>Implement an annual horizon scan to identify emerging capabilities and business relevance.</w:t>
      </w:r>
    </w:p>
    <w:p w14:paraId="76B55B69" w14:textId="77777777" w:rsidR="00C56D2F" w:rsidRDefault="00000000">
      <w:pPr>
        <w:pStyle w:val="ListBullet"/>
      </w:pPr>
      <w:r>
        <w:t>Integrate analytics and AI into decision flows for forecasting demand and optimizing performance.</w:t>
      </w:r>
    </w:p>
    <w:p w14:paraId="2680C355" w14:textId="77777777" w:rsidR="00C56D2F" w:rsidRDefault="00000000">
      <w:pPr>
        <w:pStyle w:val="ListBullet"/>
      </w:pPr>
      <w:r>
        <w:t>Partner with business functions to embed digital tools into core workflows (manufacturing, supply chain).</w:t>
      </w:r>
    </w:p>
    <w:p w14:paraId="34D26062" w14:textId="4114DEB4" w:rsidR="00C56D2F" w:rsidRDefault="00000000">
      <w:pPr>
        <w:pStyle w:val="ListBullet"/>
      </w:pPr>
      <w:r>
        <w:t>Define transformation maturity model</w:t>
      </w:r>
      <w:r w:rsidR="008D4A36">
        <w:t>s (ITSM, AI Agentic)</w:t>
      </w:r>
      <w:r>
        <w:t>; assess quarterly progress and gaps.</w:t>
      </w:r>
    </w:p>
    <w:p w14:paraId="05C8548A" w14:textId="77777777" w:rsidR="00C56D2F" w:rsidRDefault="00000000">
      <w:pPr>
        <w:pStyle w:val="ListBullet"/>
      </w:pPr>
      <w:r>
        <w:t>Align innovation investments to sustainability, resilience, and competitive advantage.</w:t>
      </w:r>
    </w:p>
    <w:p w14:paraId="715FE9CD" w14:textId="77777777" w:rsidR="00C56D2F" w:rsidRDefault="00000000" w:rsidP="00536D9C">
      <w:pPr>
        <w:pStyle w:val="Heading4"/>
      </w:pPr>
      <w:r>
        <w:t>Best Practices</w:t>
      </w:r>
    </w:p>
    <w:p w14:paraId="216F2A63" w14:textId="77777777" w:rsidR="00C56D2F" w:rsidRDefault="00000000">
      <w:pPr>
        <w:pStyle w:val="ListBullet"/>
      </w:pPr>
      <w:r>
        <w:t>Publish an annual Technology Innovation &amp; Transformation report for executives.</w:t>
      </w:r>
    </w:p>
    <w:p w14:paraId="40B9E2BE" w14:textId="77777777" w:rsidR="00C56D2F" w:rsidRDefault="00000000">
      <w:pPr>
        <w:pStyle w:val="ListBullet"/>
      </w:pPr>
      <w:r>
        <w:t>Tie innovation KPIs to business outcomes and ESG metrics (energy, waste reduction).</w:t>
      </w:r>
    </w:p>
    <w:p w14:paraId="363C7781" w14:textId="77777777" w:rsidR="00C56D2F" w:rsidRDefault="00000000">
      <w:pPr>
        <w:pStyle w:val="ListBullet"/>
      </w:pPr>
      <w:r>
        <w:t>Facilitate cross‑functional design‑thinking sessions to surface high‑impact opportunities.</w:t>
      </w:r>
    </w:p>
    <w:p w14:paraId="372E2651" w14:textId="063E7191" w:rsidR="00C56D2F" w:rsidRDefault="00000000" w:rsidP="008D4A36">
      <w:pPr>
        <w:pStyle w:val="Heading2"/>
      </w:pPr>
      <w:r>
        <w:lastRenderedPageBreak/>
        <w:t>Conclusion</w:t>
      </w:r>
    </w:p>
    <w:p w14:paraId="0080CFC4" w14:textId="11AD843C" w:rsidR="00C56D2F" w:rsidRDefault="00000000">
      <w:r>
        <w:t>This comprehensive framework positions the Global IT Manager as a strategic leader accountable for secure, scalable, and efficient global IT operations. Through disciplined governance, modernization, and people leadership, technology investments are directly tied to business outcomes—availability, productivity, and risk reduction.</w:t>
      </w:r>
      <w:r w:rsidR="00264FC5">
        <w:t xml:space="preserve"> </w:t>
      </w:r>
    </w:p>
    <w:sectPr w:rsidR="00C56D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301635">
    <w:abstractNumId w:val="8"/>
  </w:num>
  <w:num w:numId="2" w16cid:durableId="1264612721">
    <w:abstractNumId w:val="6"/>
  </w:num>
  <w:num w:numId="3" w16cid:durableId="422721569">
    <w:abstractNumId w:val="5"/>
  </w:num>
  <w:num w:numId="4" w16cid:durableId="474566242">
    <w:abstractNumId w:val="4"/>
  </w:num>
  <w:num w:numId="5" w16cid:durableId="1703676090">
    <w:abstractNumId w:val="7"/>
  </w:num>
  <w:num w:numId="6" w16cid:durableId="1800882499">
    <w:abstractNumId w:val="3"/>
  </w:num>
  <w:num w:numId="7" w16cid:durableId="1361197462">
    <w:abstractNumId w:val="2"/>
  </w:num>
  <w:num w:numId="8" w16cid:durableId="622729595">
    <w:abstractNumId w:val="1"/>
  </w:num>
  <w:num w:numId="9" w16cid:durableId="158873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09"/>
    <w:rsid w:val="00034616"/>
    <w:rsid w:val="0006063C"/>
    <w:rsid w:val="00081B3D"/>
    <w:rsid w:val="0015074B"/>
    <w:rsid w:val="00264FC5"/>
    <w:rsid w:val="0029639D"/>
    <w:rsid w:val="00326F90"/>
    <w:rsid w:val="00343C8F"/>
    <w:rsid w:val="003A0A8A"/>
    <w:rsid w:val="004D1129"/>
    <w:rsid w:val="00512F78"/>
    <w:rsid w:val="00536D9C"/>
    <w:rsid w:val="00712099"/>
    <w:rsid w:val="00767EA4"/>
    <w:rsid w:val="007B0180"/>
    <w:rsid w:val="007C25AD"/>
    <w:rsid w:val="007C5937"/>
    <w:rsid w:val="008D4A36"/>
    <w:rsid w:val="009F0B6D"/>
    <w:rsid w:val="00AA1D8D"/>
    <w:rsid w:val="00B47730"/>
    <w:rsid w:val="00B533CE"/>
    <w:rsid w:val="00B67679"/>
    <w:rsid w:val="00BB3BA9"/>
    <w:rsid w:val="00C558BC"/>
    <w:rsid w:val="00C56D2F"/>
    <w:rsid w:val="00CB0664"/>
    <w:rsid w:val="00CC4B2F"/>
    <w:rsid w:val="00D1143C"/>
    <w:rsid w:val="00D343D2"/>
    <w:rsid w:val="00D61770"/>
    <w:rsid w:val="00E52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CE391"/>
  <w14:defaultImageDpi w14:val="300"/>
  <w15:docId w15:val="{228034FC-51C4-4769-ADE5-0B53C4FD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heading">
    <w:name w:val="Sub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1584</Words>
  <Characters>11186</Characters>
  <Application>Microsoft Office Word</Application>
  <DocSecurity>0</DocSecurity>
  <Lines>223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Kyle Mueller</cp:lastModifiedBy>
  <cp:revision>11</cp:revision>
  <dcterms:created xsi:type="dcterms:W3CDTF">2025-11-02T22:40:00Z</dcterms:created>
  <dcterms:modified xsi:type="dcterms:W3CDTF">2025-11-03T00:34:00Z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8d49e822-11d5-4714-80e2-52942de47e0c</vt:lpwstr>
  </property>
</Properties>
</file>