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DBFE" w14:textId="4D952BDB" w:rsidR="00620A63" w:rsidRDefault="00620A63" w:rsidP="00620A6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Summary of Work – SDACS, Capstone I</w:t>
      </w:r>
    </w:p>
    <w:p w14:paraId="0AB38CE1" w14:textId="60943360" w:rsidR="00620A63" w:rsidRPr="00620A63" w:rsidRDefault="00620A63" w:rsidP="00620A63">
      <w:pPr>
        <w:spacing w:line="360" w:lineRule="auto"/>
        <w:rPr>
          <w:rFonts w:ascii="Times New Roman" w:hAnsi="Times New Roman" w:cs="Times New Roman"/>
          <w:b/>
          <w:bCs/>
        </w:rPr>
      </w:pPr>
      <w:r w:rsidRPr="00620A63">
        <w:rPr>
          <w:rFonts w:ascii="Times New Roman" w:hAnsi="Times New Roman" w:cs="Times New Roman"/>
          <w:b/>
          <w:bCs/>
        </w:rPr>
        <w:t>Hardware and Physical Design</w:t>
      </w:r>
    </w:p>
    <w:p w14:paraId="2530427F" w14:textId="77777777" w:rsidR="00620A63" w:rsidRPr="00620A63" w:rsidRDefault="00620A63" w:rsidP="00620A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Component Specification</w:t>
      </w:r>
      <w:r w:rsidRPr="00620A63">
        <w:rPr>
          <w:rFonts w:ascii="Times New Roman" w:hAnsi="Times New Roman" w:cs="Times New Roman"/>
        </w:rPr>
        <w:t>: The system moved from a generic ESP32 concept to the specific use of the Adafruit Metro S3 (ESP32-S3) for recording nodes, selected for its integrated battery management and I2S support.</w:t>
      </w:r>
    </w:p>
    <w:p w14:paraId="4773C2CD" w14:textId="77777777" w:rsidR="00620A63" w:rsidRPr="00620A63" w:rsidRDefault="00620A63" w:rsidP="00620A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Sensor Integration</w:t>
      </w:r>
      <w:r w:rsidRPr="00620A63">
        <w:rPr>
          <w:rFonts w:ascii="Times New Roman" w:hAnsi="Times New Roman" w:cs="Times New Roman"/>
        </w:rPr>
        <w:t xml:space="preserve">: Specific high-performance components were selected and integrated, including the ICS-43434 digital MEMS microphone for audio capture and the </w:t>
      </w:r>
      <w:proofErr w:type="spellStart"/>
      <w:r w:rsidRPr="00620A63">
        <w:rPr>
          <w:rFonts w:ascii="Times New Roman" w:hAnsi="Times New Roman" w:cs="Times New Roman"/>
        </w:rPr>
        <w:t>Sensirion</w:t>
      </w:r>
      <w:proofErr w:type="spellEnd"/>
      <w:r w:rsidRPr="00620A63">
        <w:rPr>
          <w:rFonts w:ascii="Times New Roman" w:hAnsi="Times New Roman" w:cs="Times New Roman"/>
        </w:rPr>
        <w:t xml:space="preserve"> SHT41 for environmental sensing.</w:t>
      </w:r>
    </w:p>
    <w:p w14:paraId="3F0502F2" w14:textId="77777777" w:rsidR="00620A63" w:rsidRPr="00620A63" w:rsidRDefault="00620A63" w:rsidP="00620A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Custom PCB Development</w:t>
      </w:r>
      <w:r w:rsidRPr="00620A63">
        <w:rPr>
          <w:rFonts w:ascii="Times New Roman" w:hAnsi="Times New Roman" w:cs="Times New Roman"/>
        </w:rPr>
        <w:t>: Comprehensive schematics and a PCB layout were designed for manufacturing, moving beyond the functional block diagrams in the proposal to a production-ready hardware architecture.</w:t>
      </w:r>
    </w:p>
    <w:p w14:paraId="3E4EDAE7" w14:textId="77777777" w:rsidR="00620A63" w:rsidRPr="00620A63" w:rsidRDefault="00620A63" w:rsidP="00620A6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Enclosure Maturity</w:t>
      </w:r>
      <w:r w:rsidRPr="00620A63">
        <w:rPr>
          <w:rFonts w:ascii="Times New Roman" w:hAnsi="Times New Roman" w:cs="Times New Roman"/>
        </w:rPr>
        <w:t>: The physical design reached Revision C, featuring a modular assembly consisting of a dedicated battery port, MCU housing, and a secure lid.</w:t>
      </w:r>
    </w:p>
    <w:p w14:paraId="7230935A" w14:textId="77777777" w:rsidR="00620A63" w:rsidRPr="00620A63" w:rsidRDefault="00620A63" w:rsidP="00620A63">
      <w:pPr>
        <w:spacing w:line="360" w:lineRule="auto"/>
        <w:rPr>
          <w:rFonts w:ascii="Times New Roman" w:hAnsi="Times New Roman" w:cs="Times New Roman"/>
          <w:b/>
          <w:bCs/>
        </w:rPr>
      </w:pPr>
      <w:r w:rsidRPr="00620A63">
        <w:rPr>
          <w:rFonts w:ascii="Times New Roman" w:hAnsi="Times New Roman" w:cs="Times New Roman"/>
          <w:b/>
          <w:bCs/>
        </w:rPr>
        <w:t>Software and Backend Architecture</w:t>
      </w:r>
    </w:p>
    <w:p w14:paraId="4C91CFD1" w14:textId="77777777" w:rsidR="00620A63" w:rsidRPr="00620A63" w:rsidRDefault="00620A63" w:rsidP="00620A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Server Implementation</w:t>
      </w:r>
      <w:r w:rsidRPr="00620A63">
        <w:rPr>
          <w:rFonts w:ascii="Times New Roman" w:hAnsi="Times New Roman" w:cs="Times New Roman"/>
        </w:rPr>
        <w:t>: The server role was fully defined using Node-RED on a Raspberry Pi 5 to handle MQTT telemetry, data normalization, and database management.</w:t>
      </w:r>
    </w:p>
    <w:p w14:paraId="10DE62F7" w14:textId="77777777" w:rsidR="00620A63" w:rsidRPr="00620A63" w:rsidRDefault="00620A63" w:rsidP="00620A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Data Management</w:t>
      </w:r>
      <w:r w:rsidRPr="00620A63">
        <w:rPr>
          <w:rFonts w:ascii="Times New Roman" w:hAnsi="Times New Roman" w:cs="Times New Roman"/>
        </w:rPr>
        <w:t>: A structured data pipeline was established to convert incoming JSON telemetry into SQLite and CSV formats for long-term logging and analysis.</w:t>
      </w:r>
    </w:p>
    <w:p w14:paraId="3E874FA2" w14:textId="77777777" w:rsidR="00620A63" w:rsidRPr="00620A63" w:rsidRDefault="00620A63" w:rsidP="00620A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System Reliability</w:t>
      </w:r>
      <w:r w:rsidRPr="00620A63">
        <w:rPr>
          <w:rFonts w:ascii="Times New Roman" w:hAnsi="Times New Roman" w:cs="Times New Roman"/>
        </w:rPr>
        <w:t>: Advanced firmware features were added, including a "heartbeat" monitoring system to detect stale (offline) nodes and the implementation of an Over-the-Air (OTA) firmware update protocol via GitHub.</w:t>
      </w:r>
    </w:p>
    <w:p w14:paraId="6806D2A4" w14:textId="77777777" w:rsidR="00620A63" w:rsidRPr="00620A63" w:rsidRDefault="00620A63" w:rsidP="00620A6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Signal Processing</w:t>
      </w:r>
      <w:r w:rsidRPr="00620A63">
        <w:rPr>
          <w:rFonts w:ascii="Times New Roman" w:hAnsi="Times New Roman" w:cs="Times New Roman"/>
        </w:rPr>
        <w:t xml:space="preserve">: On-node processing capabilities were refined to include real-time RMS, </w:t>
      </w:r>
      <w:proofErr w:type="spellStart"/>
      <w:r w:rsidRPr="00620A63">
        <w:rPr>
          <w:rFonts w:ascii="Times New Roman" w:hAnsi="Times New Roman" w:cs="Times New Roman"/>
        </w:rPr>
        <w:t>dBFS</w:t>
      </w:r>
      <w:proofErr w:type="spellEnd"/>
      <w:r w:rsidRPr="00620A63">
        <w:rPr>
          <w:rFonts w:ascii="Times New Roman" w:hAnsi="Times New Roman" w:cs="Times New Roman"/>
        </w:rPr>
        <w:t>, and Sound Pressure Level (SPL) estimation alongside FFT calculations.</w:t>
      </w:r>
    </w:p>
    <w:p w14:paraId="68CBC0C8" w14:textId="77777777" w:rsidR="00620A63" w:rsidRPr="00620A63" w:rsidRDefault="00620A63" w:rsidP="00620A63">
      <w:pPr>
        <w:spacing w:line="360" w:lineRule="auto"/>
        <w:rPr>
          <w:rFonts w:ascii="Times New Roman" w:hAnsi="Times New Roman" w:cs="Times New Roman"/>
          <w:b/>
          <w:bCs/>
        </w:rPr>
      </w:pPr>
      <w:r w:rsidRPr="00620A63">
        <w:rPr>
          <w:rFonts w:ascii="Times New Roman" w:hAnsi="Times New Roman" w:cs="Times New Roman"/>
          <w:b/>
          <w:bCs/>
        </w:rPr>
        <w:t>Testing and Validation Results</w:t>
      </w:r>
    </w:p>
    <w:p w14:paraId="6BAFA560" w14:textId="77777777" w:rsidR="00620A63" w:rsidRPr="00620A63" w:rsidRDefault="00620A63" w:rsidP="00620A6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lastRenderedPageBreak/>
        <w:t>Acoustic Calibration</w:t>
      </w:r>
      <w:r w:rsidRPr="00620A63">
        <w:rPr>
          <w:rFonts w:ascii="Times New Roman" w:hAnsi="Times New Roman" w:cs="Times New Roman"/>
        </w:rPr>
        <w:t>: A formal procedure was executed to establish a calibration constant (K ≈ 96.99 dB), allowing for accurate conversion of digital audio levels into real-world SPL measurements.</w:t>
      </w:r>
    </w:p>
    <w:p w14:paraId="4C684338" w14:textId="77777777" w:rsidR="00620A63" w:rsidRPr="00620A63" w:rsidRDefault="00620A63" w:rsidP="00620A6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Functional Success</w:t>
      </w:r>
      <w:r w:rsidRPr="00620A63">
        <w:rPr>
          <w:rFonts w:ascii="Times New Roman" w:hAnsi="Times New Roman" w:cs="Times New Roman"/>
        </w:rPr>
        <w:t>: System-level testing confirmed successful MQTT communication, audio processing, and SD card data logging.</w:t>
      </w:r>
    </w:p>
    <w:p w14:paraId="56E7922F" w14:textId="77777777" w:rsidR="00620A63" w:rsidRPr="00620A63" w:rsidRDefault="00620A63" w:rsidP="00620A6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Performance Identification</w:t>
      </w:r>
      <w:r w:rsidRPr="00620A63">
        <w:rPr>
          <w:rFonts w:ascii="Times New Roman" w:hAnsi="Times New Roman" w:cs="Times New Roman"/>
        </w:rPr>
        <w:t>: Testing revealed that while acoustic measurements were within the ±3.2 dB error tolerance, temperature sensing was inconsistent, leading to its classification as a "Partial" pass for future refinement.</w:t>
      </w:r>
    </w:p>
    <w:p w14:paraId="0CE002EC" w14:textId="77777777" w:rsidR="00620A63" w:rsidRPr="00620A63" w:rsidRDefault="00620A63" w:rsidP="00620A63">
      <w:pPr>
        <w:spacing w:line="360" w:lineRule="auto"/>
        <w:rPr>
          <w:rFonts w:ascii="Times New Roman" w:hAnsi="Times New Roman" w:cs="Times New Roman"/>
          <w:b/>
          <w:bCs/>
        </w:rPr>
      </w:pPr>
      <w:r w:rsidRPr="00620A63">
        <w:rPr>
          <w:rFonts w:ascii="Times New Roman" w:hAnsi="Times New Roman" w:cs="Times New Roman"/>
          <w:b/>
          <w:bCs/>
        </w:rPr>
        <w:t>Project Management and Requirements</w:t>
      </w:r>
    </w:p>
    <w:p w14:paraId="08DCD627" w14:textId="77777777" w:rsidR="00620A63" w:rsidRPr="00620A63" w:rsidRDefault="00620A63" w:rsidP="00620A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Refined Requirements</w:t>
      </w:r>
      <w:r w:rsidRPr="00620A63">
        <w:rPr>
          <w:rFonts w:ascii="Times New Roman" w:hAnsi="Times New Roman" w:cs="Times New Roman"/>
        </w:rPr>
        <w:t xml:space="preserve">: The broad goals of the proposal were codified into a formal </w:t>
      </w:r>
      <w:proofErr w:type="spellStart"/>
      <w:r w:rsidRPr="00620A63">
        <w:rPr>
          <w:rFonts w:ascii="Times New Roman" w:hAnsi="Times New Roman" w:cs="Times New Roman"/>
        </w:rPr>
        <w:t>MoSCoW</w:t>
      </w:r>
      <w:proofErr w:type="spellEnd"/>
      <w:r w:rsidRPr="00620A63">
        <w:rPr>
          <w:rFonts w:ascii="Times New Roman" w:hAnsi="Times New Roman" w:cs="Times New Roman"/>
        </w:rPr>
        <w:t xml:space="preserve"> (Must, Should, Could, Won’t) table to strictly define project scope and deliverables.</w:t>
      </w:r>
    </w:p>
    <w:p w14:paraId="1B105569" w14:textId="77777777" w:rsidR="00620A63" w:rsidRPr="00620A63" w:rsidRDefault="00620A63" w:rsidP="00620A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20A63">
        <w:rPr>
          <w:rFonts w:ascii="Times New Roman" w:hAnsi="Times New Roman" w:cs="Times New Roman"/>
          <w:b/>
          <w:bCs/>
        </w:rPr>
        <w:t>Risk Mitigation</w:t>
      </w:r>
      <w:r w:rsidRPr="00620A63">
        <w:rPr>
          <w:rFonts w:ascii="Times New Roman" w:hAnsi="Times New Roman" w:cs="Times New Roman"/>
        </w:rPr>
        <w:t>: The initial risk list was expanded into a detailed Risk Assessment Matrix, incorporating specific technical challenges such as node synchronization and custom PCB complexity.</w:t>
      </w:r>
    </w:p>
    <w:p w14:paraId="2114B6FD" w14:textId="77777777" w:rsidR="00FE290C" w:rsidRDefault="00FE290C"/>
    <w:sectPr w:rsidR="00FE290C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2B6CC" w14:textId="77777777" w:rsidR="0018607D" w:rsidRDefault="0018607D" w:rsidP="00620A63">
      <w:pPr>
        <w:spacing w:after="0" w:line="240" w:lineRule="auto"/>
      </w:pPr>
      <w:r>
        <w:separator/>
      </w:r>
    </w:p>
  </w:endnote>
  <w:endnote w:type="continuationSeparator" w:id="0">
    <w:p w14:paraId="46726691" w14:textId="77777777" w:rsidR="0018607D" w:rsidRDefault="0018607D" w:rsidP="00620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D4A31" w14:textId="77777777" w:rsidR="0018607D" w:rsidRDefault="0018607D" w:rsidP="00620A63">
      <w:pPr>
        <w:spacing w:after="0" w:line="240" w:lineRule="auto"/>
      </w:pPr>
      <w:r>
        <w:separator/>
      </w:r>
    </w:p>
  </w:footnote>
  <w:footnote w:type="continuationSeparator" w:id="0">
    <w:p w14:paraId="4A13A66E" w14:textId="77777777" w:rsidR="0018607D" w:rsidRDefault="0018607D" w:rsidP="00620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408B" w14:textId="6256B2FA" w:rsidR="00620A63" w:rsidRPr="00620A63" w:rsidRDefault="00620A63" w:rsidP="00620A63">
    <w:pPr>
      <w:pStyle w:val="Header"/>
      <w:spacing w:line="360" w:lineRule="auto"/>
      <w:jc w:val="right"/>
      <w:rPr>
        <w:rFonts w:ascii="Times New Roman" w:hAnsi="Times New Roman" w:cs="Times New Roman"/>
      </w:rPr>
    </w:pPr>
    <w:r w:rsidRPr="00620A63">
      <w:rPr>
        <w:rFonts w:ascii="Times New Roman" w:hAnsi="Times New Roman" w:cs="Times New Roman"/>
      </w:rPr>
      <w:t>2026-04-16</w:t>
    </w:r>
  </w:p>
  <w:p w14:paraId="6E451971" w14:textId="40DBBC29" w:rsidR="00620A63" w:rsidRPr="00620A63" w:rsidRDefault="00620A63" w:rsidP="00620A63">
    <w:pPr>
      <w:pStyle w:val="Header"/>
      <w:spacing w:line="360" w:lineRule="auto"/>
      <w:rPr>
        <w:rFonts w:ascii="Times New Roman" w:hAnsi="Times New Roman" w:cs="Times New Roman"/>
      </w:rPr>
    </w:pPr>
    <w:r w:rsidRPr="00620A63">
      <w:rPr>
        <w:rFonts w:ascii="Times New Roman" w:hAnsi="Times New Roman" w:cs="Times New Roman"/>
      </w:rPr>
      <w:t>A. Wentzell</w:t>
    </w:r>
  </w:p>
  <w:p w14:paraId="5663C6AE" w14:textId="6FDB0856" w:rsidR="00620A63" w:rsidRPr="00620A63" w:rsidRDefault="00620A63" w:rsidP="00620A63">
    <w:pPr>
      <w:pStyle w:val="Header"/>
      <w:spacing w:line="360" w:lineRule="auto"/>
      <w:rPr>
        <w:rFonts w:ascii="Times New Roman" w:hAnsi="Times New Roman" w:cs="Times New Roman"/>
      </w:rPr>
    </w:pPr>
    <w:r w:rsidRPr="00620A63">
      <w:rPr>
        <w:rFonts w:ascii="Times New Roman" w:hAnsi="Times New Roman" w:cs="Times New Roman"/>
      </w:rPr>
      <w:t>D. Toma</w:t>
    </w:r>
  </w:p>
  <w:p w14:paraId="4A2A6AA6" w14:textId="584A2D3B" w:rsidR="00620A63" w:rsidRPr="00620A63" w:rsidRDefault="00620A63" w:rsidP="00620A63">
    <w:pPr>
      <w:pStyle w:val="Header"/>
      <w:spacing w:line="360" w:lineRule="auto"/>
      <w:rPr>
        <w:rFonts w:ascii="Times New Roman" w:hAnsi="Times New Roman" w:cs="Times New Roman"/>
      </w:rPr>
    </w:pPr>
    <w:r w:rsidRPr="00620A63">
      <w:rPr>
        <w:rFonts w:ascii="Times New Roman" w:hAnsi="Times New Roman" w:cs="Times New Roman"/>
      </w:rPr>
      <w:t>K. Dick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530C9"/>
    <w:multiLevelType w:val="multilevel"/>
    <w:tmpl w:val="A98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66C81"/>
    <w:multiLevelType w:val="multilevel"/>
    <w:tmpl w:val="A4A0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A1112"/>
    <w:multiLevelType w:val="multilevel"/>
    <w:tmpl w:val="06A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E652F"/>
    <w:multiLevelType w:val="multilevel"/>
    <w:tmpl w:val="330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23419">
    <w:abstractNumId w:val="1"/>
  </w:num>
  <w:num w:numId="2" w16cid:durableId="1624536317">
    <w:abstractNumId w:val="3"/>
  </w:num>
  <w:num w:numId="3" w16cid:durableId="1827818088">
    <w:abstractNumId w:val="2"/>
  </w:num>
  <w:num w:numId="4" w16cid:durableId="96334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63"/>
    <w:rsid w:val="0018607D"/>
    <w:rsid w:val="00620A63"/>
    <w:rsid w:val="00673D99"/>
    <w:rsid w:val="00992A56"/>
    <w:rsid w:val="00A5732B"/>
    <w:rsid w:val="00FE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A20FF"/>
  <w15:chartTrackingRefBased/>
  <w15:docId w15:val="{A4C99DED-DC53-4DCD-9F90-A6416F64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0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A63"/>
  </w:style>
  <w:style w:type="paragraph" w:styleId="Footer">
    <w:name w:val="footer"/>
    <w:basedOn w:val="Normal"/>
    <w:link w:val="FooterChar"/>
    <w:uiPriority w:val="99"/>
    <w:unhideWhenUsed/>
    <w:rsid w:val="00620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Wentzell</dc:creator>
  <cp:keywords/>
  <dc:description/>
  <cp:lastModifiedBy>Amy Wentzell</cp:lastModifiedBy>
  <cp:revision>1</cp:revision>
  <dcterms:created xsi:type="dcterms:W3CDTF">2026-04-15T15:11:00Z</dcterms:created>
  <dcterms:modified xsi:type="dcterms:W3CDTF">2026-04-15T15:13:00Z</dcterms:modified>
</cp:coreProperties>
</file>