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Batch 19E: Phase 14.5 Extension (VTS Pattern Pool + sourcePool Persistence)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Date: March 18, 2026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Executive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Batch 19E completes the Phase 14.5 expansion by persisting the `sourcePool` identity all the way through to the database and frontend, and wiring the VTS runner to properly fetch and evaluate pattern pool pairs. This ensures complete end-to-end traceability for whether a trade originated from the strict quant pool or the relaxed pattern pool.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Batch 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19E — VTS Pattern Pool + sourcePool Persistence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</w:t>
      </w:r>
      <w:r>
        <w:rPr>
          <w:rFonts w:ascii="Calibri" w:cs="Calibri" w:eastAsia="Calibri" w:hAnsi="Calibri"/>
          <w:sz w:val="22"/>
          <w:szCs w:val="22"/>
        </w:rPr>
        <w:t xml:space="preserve"> Deployed and Verified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Commit:</w:t>
      </w:r>
      <w:r>
        <w:rPr>
          <w:rFonts w:ascii="Calibri" w:cs="Calibri" w:eastAsia="Calibri" w:hAnsi="Calibri"/>
          <w:sz w:val="22"/>
          <w:szCs w:val="22"/>
        </w:rPr>
        <w:t xml:space="preserve"> `170dba7a`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</w:t>
      </w:r>
      <w:r>
        <w:rPr>
          <w:rFonts w:ascii="Calibri" w:cs="Calibri" w:eastAsia="Calibri" w:hAnsi="Calibri"/>
          <w:sz w:val="22"/>
          <w:szCs w:val="22"/>
        </w:rPr>
        <w:t xml:space="preserve"> Code &amp; Governance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Medium — Database schema updates for active trading tables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the dual-path architecture (Quant vs Pattern) is fully observable in trade history and actively simulated in VTS.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Desired Outcome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`sourcePool` is written to `paper_sim_trades` and `paper_sim_open_positions`.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frontend displays "QUANT" or "PATTERN" badges on open and closed trades.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VTS runner evaluates both the quant pool and the pattern pool.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Outcome Achieved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Key Changes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Schema</w:t>
      </w:r>
      <w:r>
        <w:rPr>
          <w:rFonts w:ascii="Calibri" w:cs="Calibri" w:eastAsia="Calibri" w:hAnsi="Calibri"/>
          <w:sz w:val="22"/>
          <w:szCs w:val="22"/>
        </w:rPr>
        <w:t xml:space="preserve">: Added `source_pool` column to `paper_sim_trades` and `paper_sim_open_positions`.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Execution Engine</w:t>
      </w:r>
      <w:r>
        <w:rPr>
          <w:rFonts w:ascii="Calibri" w:cs="Calibri" w:eastAsia="Calibri" w:hAnsi="Calibri"/>
          <w:sz w:val="22"/>
          <w:szCs w:val="22"/>
        </w:rPr>
        <w:t xml:space="preserve">: `paper-execution-engine.ts` now persists `sourcePool` from signal metadata.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VTS Runner</w:t>
      </w:r>
      <w:r>
        <w:rPr>
          <w:rFonts w:ascii="Calibri" w:cs="Calibri" w:eastAsia="Calibri" w:hAnsi="Calibri"/>
          <w:sz w:val="22"/>
          <w:szCs w:val="22"/>
        </w:rPr>
        <w:t xml:space="preserve">: `vts-runner.ts` updated to fetch pattern pool pairs alongside quant pool pairs and evaluate them using `PATTERN_POOL_STRATEGIES`.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</w:t>
      </w:r>
      <w:r>
        <w:rPr>
          <w:rFonts w:ascii="Calibri" w:cs="Calibri" w:eastAsia="Calibri" w:hAnsi="Calibri"/>
          <w:sz w:val="22"/>
          <w:szCs w:val="22"/>
        </w:rPr>
        <w:t xml:space="preserve">: Added Source Pool badges to the trading dashboard for clear visual distinction.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</w:t>
      </w:r>
      <w:r>
        <w:rPr>
          <w:rFonts w:ascii="Calibri" w:cs="Calibri" w:eastAsia="Calibri" w:hAnsi="Calibri"/>
          <w:sz w:val="22"/>
          <w:szCs w:val="22"/>
        </w:rPr>
        <w:t xml:space="preserve">: Added Rule 22 (Langston mandatory acknowledgment protocol) and updated `SYSTEM_IMPACT_MAP.md` / `CLAUDE_CODE_PROJECT_INSTRUCTIONS.md`.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Replit deployment applied successfully.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Code changes and schema migrations confirmed.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GitHub push completed successfully (`170dba7a`).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It Matters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trading system's data is only useful if its provenance is clear. By persisting `sourcePool` to the database and frontend, we can now definitively track and evaluate the performance of pattern-based trades versus strict quant-based trades.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Proceed with Phase 11 Finalization (Block 4, Batch 20) as per the roadmap.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*Report generated by Langston — Lead Architect &amp; Autonomous Build Orchestrator*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*DawnTrader V3 — Building generational wealth through systematic trading*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2026-03-18T19:46:22.770Z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2026-03-18T19:46:22.770Z</dcterms:created>
  <dcterms:modified xsi:type="dcterms:W3CDTF">2026-03-18T19:46:22.770Z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