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BATCH COMPLETION REPORT — BATCH 19F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</w:t>
      </w:r>
      <w:r>
        <w:rPr>
          <w:rFonts w:ascii="Calibri" w:cs="Calibri" w:eastAsia="Calibri" w:hAnsi="Calibri"/>
          <w:sz w:val="22"/>
          <w:szCs w:val="22"/>
        </w:rPr>
        <w:t xml:space="preserve">: March 19,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</w:t>
      </w:r>
      <w:r>
        <w:rPr>
          <w:rFonts w:ascii="Calibri" w:cs="Calibri" w:eastAsia="Calibri" w:hAnsi="Calibri"/>
          <w:sz w:val="22"/>
          <w:szCs w:val="22"/>
        </w:rPr>
        <w:t xml:space="preserve">: 14.5 Completion (Backend Logic)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</w:t>
      </w:r>
      <w:r>
        <w:rPr>
          <w:rFonts w:ascii="Calibri" w:cs="Calibri" w:eastAsia="Calibri" w:hAnsi="Calibri"/>
          <w:sz w:val="22"/>
          <w:szCs w:val="22"/>
        </w:rPr>
        <w:t xml:space="preserve">: dawntrader-v4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OVERVIEW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Batch 19F completes the backend logic for Phase 14.5, finalizing the dual-path filters, VTS parity fixes, hybrid confluence detection, and the integration of the ABCD pattern. Frontend UI changes remain deferred to Batch 19G pending confirmation.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CODE DEPLOYMENT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 Hash</w:t>
      </w:r>
      <w:r>
        <w:rPr>
          <w:rFonts w:ascii="Calibri" w:cs="Calibri" w:eastAsia="Calibri" w:hAnsi="Calibri"/>
          <w:sz w:val="22"/>
          <w:szCs w:val="22"/>
        </w:rPr>
        <w:t xml:space="preserve">: `bd40aa6`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: COMPLETE AND VERIFIED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Verification Steps Completed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Replacements</w:t>
      </w:r>
      <w:r>
        <w:rPr>
          <w:rFonts w:ascii="Calibri" w:cs="Calibri" w:eastAsia="Calibri" w:hAnsi="Calibri"/>
          <w:sz w:val="22"/>
          <w:szCs w:val="22"/>
        </w:rPr>
        <w:t xml:space="preserve">: 2 NEW and 9 MODIFIED backend files applied successfully via the Replit Agent.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Pre-Implementation Review</w:t>
      </w:r>
      <w:r>
        <w:rPr>
          <w:rFonts w:ascii="Calibri" w:cs="Calibri" w:eastAsia="Calibri" w:hAnsi="Calibri"/>
          <w:sz w:val="22"/>
          <w:szCs w:val="22"/>
        </w:rPr>
        <w:t xml:space="preserve">: Conducted formal review prior to deployment; identified and corrected sim-to-live parity, TypeScript schema bugs, and unauthorized UI scope deferrals in prior iteration.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 Health</w:t>
      </w:r>
      <w:r>
        <w:rPr>
          <w:rFonts w:ascii="Calibri" w:cs="Calibri" w:eastAsia="Calibri" w:hAnsi="Calibri"/>
          <w:sz w:val="22"/>
          <w:szCs w:val="22"/>
        </w:rPr>
        <w:t xml:space="preserve">: Server builds and runs completely cleanly; scan cycles and WebSockets are active.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TypeScript &amp; Schema</w:t>
      </w:r>
      <w:r>
        <w:rPr>
          <w:rFonts w:ascii="Calibri" w:cs="Calibri" w:eastAsia="Calibri" w:hAnsi="Calibri"/>
          <w:sz w:val="22"/>
          <w:szCs w:val="22"/>
        </w:rPr>
        <w:t xml:space="preserve">: No build errors or import failures. `sourcePool` type expansion for `'hybrid'` was verified.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Diagnostics</w:t>
      </w:r>
      <w:r>
        <w:rPr>
          <w:rFonts w:ascii="Calibri" w:cs="Calibri" w:eastAsia="Calibri" w:hAnsi="Calibri"/>
          <w:sz w:val="22"/>
          <w:szCs w:val="22"/>
        </w:rPr>
        <w:t xml:space="preserve">: Server startup logs verified the new ABCD pattern and the corrected mapping for `inside_bar_reversal` to `INSIDE_BAR` in the Canonical Map.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ARCHITECTURAL 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Sim-to-Live Parity Maintained</w:t>
      </w:r>
      <w:r>
        <w:rPr>
          <w:rFonts w:ascii="Calibri" w:cs="Calibri" w:eastAsia="Calibri" w:hAnsi="Calibri"/>
          <w:sz w:val="22"/>
          <w:szCs w:val="22"/>
        </w:rPr>
        <w:t xml:space="preserve">: VTS simulation batches now explicitly duplicate pairs that pass BOTH quant and pattern filters, treating them correctly as two parallel signal sources to match the active trading path.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Hybrid Confluence Buffer</w:t>
      </w:r>
      <w:r>
        <w:rPr>
          <w:rFonts w:ascii="Calibri" w:cs="Calibri" w:eastAsia="Calibri" w:hAnsi="Calibri"/>
          <w:sz w:val="22"/>
          <w:szCs w:val="22"/>
        </w:rPr>
        <w:t xml:space="preserve">: An in-memory, 5-minute TTL buffer now accurately tracks pattern signals. The Signal Orchestrator utilizes this buffer upon quant signal generation to synthesize and spawn independent hybrid signals via the SQE pipeline.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Management Integrity</w:t>
      </w:r>
      <w:r>
        <w:rPr>
          <w:rFonts w:ascii="Calibri" w:cs="Calibri" w:eastAsia="Calibri" w:hAnsi="Calibri"/>
          <w:sz w:val="22"/>
          <w:szCs w:val="22"/>
        </w:rPr>
        <w:t xml:space="preserve">: The RTB execution engine explicitly checks the open position cache per-pair at promotion time to prevent multi-strategy overexposure (e.g., executing a Quant, Pattern, and Hybrid position on the same asset simultaneously).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NEXT STEPS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Awaiting Kyle's confirmation to proceed with the deferred UI changes (Batch 19G) or the next roadmap item.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2026-03-19T00:25:56.532Z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2026-03-19T00:25:56.532Z</dcterms:created>
  <dcterms:modified xsi:type="dcterms:W3CDTF">2026-03-19T00:25:56.532Z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