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Arial" w:hAnsi="Arial" w:cs="Arial"/>
          <w:sz w:val="32"/>
          <w:sz-cs w:val="32"/>
          <w:b/>
        </w:rPr>
        <w:t xml:space="preserve">Brief: Repositioning Sereen's Personal Brand</w:t>
      </w:r>
      <w:r>
        <w:rPr>
          <w:rFonts w:ascii="Arial" w:hAnsi="Arial" w:cs="Arial"/>
          <w:sz w:val="22"/>
          <w:sz-cs w:val="22"/>
        </w:rPr>
        <w:t xml:space="preserve"/>
      </w:r>
    </w:p>
    <w:p>
      <w:pPr>
        <w:spacing w:after="120"/>
      </w:pPr>
      <w:r>
        <w:rPr>
          <w:rFonts w:ascii="Arial" w:hAnsi="Arial" w:cs="Arial"/>
          <w:sz w:val="26"/>
          <w:sz-cs w:val="26"/>
          <w:b/>
        </w:rPr>
        <w:t xml:space="preserve">1. Define the primary engine</w:t>
      </w:r>
      <w:r>
        <w:rPr>
          <w:rFonts w:ascii="Arial" w:hAnsi="Arial" w:cs="Arial"/>
          <w:sz w:val="22"/>
          <w:sz-cs w:val="22"/>
        </w:rPr>
        <w:t xml:space="preserve"/>
      </w:r>
    </w:p>
    <w:p>
      <w:pPr>
        <w:spacing w:after="180"/>
      </w:pPr>
      <w:r>
        <w:rPr>
          <w:rFonts w:ascii="Arial" w:hAnsi="Arial" w:cs="Arial"/>
          <w:sz w:val="22"/>
          <w:sz-cs w:val="22"/>
        </w:rPr>
        <w:t xml:space="preserve">The current plan pursues two different business models without choosing between them — one-off speaking fees and ongoing consulting engagements — which creates conflicting decisions on pricing, content, and outreach targeting.</w:t>
      </w:r>
    </w:p>
    <w:p>
      <w:pPr>
        <w:spacing w:after="180"/>
      </w:pPr>
      <w:r>
        <w:rPr>
          <w:rFonts w:ascii="Arial" w:hAnsi="Arial" w:cs="Arial"/>
          <w:sz w:val="22"/>
          <w:sz-cs w:val="22"/>
        </w:rPr>
        <w:t xml:space="preserve">The approach going forward: consulting to businesses and managers is the primary offer. Speaking is not a standalone revenue goal — it is lead generation for consulting. A booking is only valuable to the extent it puts her in front of the right buyers; fee size is secondary to audience fit.</w:t>
      </w:r>
    </w:p>
    <w:p>
      <w:pPr>
        <w:spacing w:after="240"/>
      </w:pPr>
      <w:r>
        <w:rPr>
          <w:rFonts w:ascii="Arial" w:hAnsi="Arial" w:cs="Arial"/>
          <w:sz w:val="22"/>
          <w:sz-cs w:val="22"/>
        </w:rPr>
        <w:t xml:space="preserve">Bookings are pursued the standard way: external organizers invite and pay her to speak at their event (industry conferences, association meetings, corporate events). She does not produce or host her own paid events, and does not pay for speaking slots.</w:t>
      </w:r>
    </w:p>
    <w:p>
      <w:pPr>
        <w:spacing w:after="120"/>
      </w:pPr>
      <w:r>
        <w:rPr>
          <w:rFonts w:ascii="Arial" w:hAnsi="Arial" w:cs="Arial"/>
          <w:sz w:val="26"/>
          <w:sz-cs w:val="26"/>
          <w:b/>
        </w:rPr>
        <w:t xml:space="preserve">2. Separate booking, presence, and event promotion into three distinct engines</w:t>
      </w:r>
      <w:r>
        <w:rPr>
          <w:rFonts w:ascii="Arial" w:hAnsi="Arial" w:cs="Arial"/>
          <w:sz w:val="22"/>
          <w:sz-cs w:val="22"/>
        </w:rPr>
        <w:t xml:space="preserve"/>
      </w:r>
    </w:p>
    <w:p>
      <w:pPr>
        <w:spacing w:after="180"/>
      </w:pPr>
      <w:r>
        <w:rPr>
          <w:rFonts w:ascii="Arial" w:hAnsi="Arial" w:cs="Arial"/>
          <w:sz w:val="22"/>
          <w:sz-cs w:val="22"/>
        </w:rPr>
        <w:t xml:space="preserve">Conference bookings, everyday content, and the promotion of a specific confirmed appearance are three different activities with three different goals, and they need to be run and measured separately.</w:t>
      </w:r>
    </w:p>
    <w:p>
      <w:pPr>
        <w:ind w:left="360" w:first-line="-240"/>
        <w:spacing w:after="120"/>
      </w:pPr>
      <w:r>
        <w:rPr>
          <w:rFonts w:ascii="Arial" w:hAnsi="Arial" w:cs="Arial"/>
          <w:sz w:val="22"/>
          <w:sz-cs w:val="22"/>
        </w:rPr>
        <w:t xml:space="preserve">•</w:t>
        <w:tab/>
        <w:t xml:space="preserve"/>
      </w:r>
      <w:r>
        <w:rPr>
          <w:rFonts w:ascii="Arial" w:hAnsi="Arial" w:cs="Arial"/>
          <w:sz w:val="22"/>
          <w:sz-cs w:val="22"/>
          <w:b/>
        </w:rPr>
        <w:t xml:space="preserve">Booking</w:t>
      </w:r>
      <w:r>
        <w:rPr>
          <w:rFonts w:ascii="Arial" w:hAnsi="Arial" w:cs="Arial"/>
          <w:sz w:val="22"/>
          <w:sz-cs w:val="22"/>
        </w:rPr>
        <w:t xml:space="preserve"> happens through direct outreach to organizers, in the background — never on social. This function does not currently exist. The only known team role (media relations, handling inbound press inquiries) is reactive, not proactive outreach to conference organizers. A dedicated outbound booking function — a person or agency responsible for pitching her to organizers — needs to be established for this engine to run.</w:t>
      </w:r>
    </w:p>
    <w:p>
      <w:pPr>
        <w:ind w:left="360" w:first-line="-240"/>
        <w:spacing w:after="120"/>
      </w:pPr>
      <w:r>
        <w:rPr>
          <w:rFonts w:ascii="Arial" w:hAnsi="Arial" w:cs="Arial"/>
          <w:sz w:val="22"/>
          <w:sz-cs w:val="22"/>
        </w:rPr>
        <w:t xml:space="preserve">•</w:t>
        <w:tab/>
        <w:t xml:space="preserve"/>
      </w:r>
      <w:r>
        <w:rPr>
          <w:rFonts w:ascii="Arial" w:hAnsi="Arial" w:cs="Arial"/>
          <w:sz w:val="22"/>
          <w:sz-cs w:val="22"/>
          <w:b/>
        </w:rPr>
        <w:t xml:space="preserve">Presence content</w:t>
      </w:r>
      <w:r>
        <w:rPr>
          <w:rFonts w:ascii="Arial" w:hAnsi="Arial" w:cs="Arial"/>
          <w:sz w:val="22"/>
          <w:sz-cs w:val="22"/>
        </w:rPr>
        <w:t xml:space="preserve"> runs continuously and independently of any single event, built around leadership and sustainability principles.</w:t>
      </w:r>
    </w:p>
    <w:p>
      <w:pPr>
        <w:ind w:left="360" w:first-line="-240"/>
        <w:spacing w:after="120"/>
      </w:pPr>
      <w:r>
        <w:rPr>
          <w:rFonts w:ascii="Arial" w:hAnsi="Arial" w:cs="Arial"/>
          <w:sz w:val="22"/>
          <w:sz-cs w:val="22"/>
        </w:rPr>
        <w:t xml:space="preserve">•</w:t>
        <w:tab/>
        <w:t xml:space="preserve"/>
      </w:r>
      <w:r>
        <w:rPr>
          <w:rFonts w:ascii="Arial" w:hAnsi="Arial" w:cs="Arial"/>
          <w:sz w:val="22"/>
          <w:sz-cs w:val="22"/>
          <w:b/>
        </w:rPr>
        <w:t xml:space="preserve">Event promotion</w:t>
      </w:r>
      <w:r>
        <w:rPr>
          <w:rFonts w:ascii="Arial" w:hAnsi="Arial" w:cs="Arial"/>
          <w:sz w:val="22"/>
          <w:sz-cs w:val="22"/>
        </w:rPr>
        <w:t xml:space="preserve"> activates only once a booking is confirmed, with its own short sequence (announcement, reminder, day-of) aimed at filling the room — treated the way a webinar launch would be treated. This full sequence runs only for bookings aligned with the target buyer. Off-fit bookings taken purely for the fee get a low-key mention at most, not the full push, so promotion doesn't attach her name to the wrong audience.</w:t>
      </w:r>
    </w:p>
    <w:p>
      <w:pPr>
        <w:ind w:left="360" w:first-line="-240"/>
        <w:spacing w:after="240"/>
      </w:pPr>
      <w:r>
        <w:rPr>
          <w:rFonts w:ascii="Arial" w:hAnsi="Arial" w:cs="Arial"/>
          <w:sz w:val="22"/>
          <w:sz-cs w:val="22"/>
        </w:rPr>
        <w:t xml:space="preserve">•</w:t>
        <w:tab/>
        <w:t xml:space="preserve"/>
      </w:r>
      <w:r>
        <w:rPr>
          <w:rFonts w:ascii="Arial" w:hAnsi="Arial" w:cs="Arial"/>
          <w:sz w:val="22"/>
          <w:sz-cs w:val="22"/>
          <w:b/>
        </w:rPr>
        <w:t xml:space="preserve">Presence content may reference an appearance in passing</w:t>
      </w:r>
      <w:r>
        <w:rPr>
          <w:rFonts w:ascii="Arial" w:hAnsi="Arial" w:cs="Arial"/>
          <w:sz w:val="22"/>
          <w:sz-cs w:val="22"/>
        </w:rPr>
        <w:t xml:space="preserve"> (e.g., a single line in a principle-first post), but driving attendance is strictly the job of the event-promotion sequence, not the everyday content engine.</w:t>
      </w:r>
    </w:p>
    <w:p>
      <w:pPr>
        <w:spacing w:after="120"/>
      </w:pPr>
      <w:r>
        <w:rPr>
          <w:rFonts w:ascii="Arial" w:hAnsi="Arial" w:cs="Arial"/>
          <w:sz w:val="26"/>
          <w:sz-cs w:val="26"/>
          <w:b/>
        </w:rPr>
        <w:t xml:space="preserve">3. Resolve the conflict with her current live brand</w:t>
      </w:r>
      <w:r>
        <w:rPr>
          <w:rFonts w:ascii="Arial" w:hAnsi="Arial" w:cs="Arial"/>
          <w:sz w:val="22"/>
          <w:sz-cs w:val="22"/>
        </w:rPr>
        <w:t xml:space="preserve"/>
      </w:r>
    </w:p>
    <w:p>
      <w:pPr>
        <w:spacing w:after="180"/>
      </w:pPr>
      <w:r>
        <w:rPr>
          <w:rFonts w:ascii="Arial" w:hAnsi="Arial" w:cs="Arial"/>
          <w:sz w:val="22"/>
          <w:sz-cs w:val="22"/>
        </w:rPr>
        <w:t xml:space="preserve">Her existing public positioning ("Power Look") targets a different buyer than the one this repositioning is built for. Consulting becomes the single primary offer, and Power Look is folded in as an entry-point module within consulting itself — not a separate branded service. The "style shapes leadership" idea survives as a recurring content theme, not as a product a visitor has to choose between.</w:t>
      </w:r>
    </w:p>
    <w:p>
      <w:pPr>
        <w:spacing w:after="240"/>
      </w:pPr>
      <w:r>
        <w:rPr>
          <w:rFonts w:ascii="Arial" w:hAnsi="Arial" w:cs="Arial"/>
          <w:sz w:val="22"/>
          <w:sz-cs w:val="22"/>
        </w:rPr>
        <w:t xml:space="preserve">One offer, one path — no fork between consulting and styling.</w:t>
      </w:r>
    </w:p>
    <w:p>
      <w:pPr>
        <w:spacing w:after="120"/>
      </w:pPr>
      <w:r>
        <w:rPr>
          <w:rFonts w:ascii="Arial" w:hAnsi="Arial" w:cs="Arial"/>
          <w:sz w:val="26"/>
          <w:sz-cs w:val="26"/>
          <w:b/>
        </w:rPr>
        <w:t xml:space="preserve">4. Lead with principles, not the company</w:t>
      </w:r>
      <w:r>
        <w:rPr>
          <w:rFonts w:ascii="Arial" w:hAnsi="Arial" w:cs="Arial"/>
          <w:sz w:val="22"/>
          <w:sz-cs w:val="22"/>
        </w:rPr>
        <w:t xml:space="preserve"/>
      </w:r>
    </w:p>
    <w:p>
      <w:pPr>
        <w:spacing w:after="180"/>
      </w:pPr>
      <w:r>
        <w:rPr>
          <w:rFonts w:ascii="Arial" w:hAnsi="Arial" w:cs="Arial"/>
          <w:sz w:val="22"/>
          <w:sz-cs w:val="22"/>
        </w:rPr>
        <w:t xml:space="preserve">Content should open with a leadership or sustainability insight the audience can use immediately. The company and its B Corp story appear as supporting proof, not as the subject — brought in to close the point, not to open it.</w:t>
      </w:r>
    </w:p>
    <w:p>
      <w:pPr>
        <w:spacing w:after="180"/>
      </w:pPr>
      <w:r>
        <w:rPr>
          <w:rFonts w:ascii="Arial" w:hAnsi="Arial" w:cs="Arial"/>
          <w:sz w:val="22"/>
          <w:sz-cs w:val="22"/>
        </w:rPr>
        <w:t xml:space="preserve">Her public health background (MPH/LDN) stays in the content mix as another source of usable insight (e.g., why burned-out teams underperform), not as a separate nutrition-expert track.</w:t>
      </w:r>
    </w:p>
    <w:p>
      <w:pPr>
        <w:spacing w:after="180"/>
      </w:pPr>
      <w:r>
        <w:rPr>
          <w:rFonts w:ascii="Arial" w:hAnsi="Arial" w:cs="Arial"/>
          <w:sz w:val="22"/>
          <w:sz-cs w:val="22"/>
        </w:rPr>
        <w:t xml:space="preserve">Two things that look similar but aren't: her real experience running Tad More (the mistakes, decisions, and lessons that actually happened there) is the evidence base behind nearly everything she teaches, and should run through content constantly — not rationed, not occasional. Naming the "B Corp" certification specifically, by contrast, is a smaller, tactical choice used when it adds extra proof-weight for a particular audience or claim (e.g., a corporate buyer who already trusts what that label signals) — not something that needs to appear on a schedule. Her stories don't need the term "B Corp" attached to be credible; they're credible because they're real.</w:t>
      </w:r>
    </w:p>
    <w:p>
      <w:pPr>
        <w:spacing w:after="240"/>
      </w:pPr>
      <w:r>
        <w:rPr>
          <w:rFonts w:ascii="Arial" w:hAnsi="Arial" w:cs="Arial"/>
          <w:sz w:val="22"/>
          <w:sz-cs w:val="22"/>
        </w:rPr>
        <w:t xml:space="preserve">The thread that ties style, public health, sustainability, and leadership into one consistent voice: intentionality and care applied at different scales — how she dresses, treats her body, treats her team, and runs her company are the same discipline at different sizes.</w:t>
      </w:r>
    </w:p>
    <w:p>
      <w:pPr>
        <w:spacing w:after="120"/>
      </w:pPr>
      <w:r>
        <w:rPr>
          <w:rFonts w:ascii="Arial" w:hAnsi="Arial" w:cs="Arial"/>
          <w:sz w:val="26"/>
          <w:sz-cs w:val="26"/>
          <w:b/>
        </w:rPr>
        <w:t xml:space="preserve">5. Build the plan down to production-ready detail</w:t>
      </w:r>
      <w:r>
        <w:rPr>
          <w:rFonts w:ascii="Arial" w:hAnsi="Arial" w:cs="Arial"/>
          <w:sz w:val="22"/>
          <w:sz-cs w:val="22"/>
        </w:rPr>
        <w:t xml:space="preserve"/>
      </w:r>
    </w:p>
    <w:p>
      <w:pPr>
        <w:spacing w:after="240"/>
      </w:pPr>
      <w:r>
        <w:rPr>
          <w:rFonts w:ascii="Arial" w:hAnsi="Arial" w:cs="Arial"/>
          <w:sz w:val="22"/>
          <w:sz-cs w:val="22"/>
        </w:rPr>
        <w:t xml:space="preserve">Positioning statements and content ratios aren't enough to execute against. The approach includes concrete examples — a sample post, a sample talk opener, and clear rules for what belongs in each content mode — so execution doesn't default back to old habits.</w:t>
      </w:r>
    </w:p>
    <w:p>
      <w:pPr>
        <w:spacing w:after="120"/>
      </w:pPr>
      <w:r>
        <w:rPr>
          <w:rFonts w:ascii="Arial" w:hAnsi="Arial" w:cs="Arial"/>
          <w:sz w:val="26"/>
          <w:sz-cs w:val="26"/>
          <w:b/>
        </w:rPr>
        <w:t xml:space="preserve">6. Use what's already real</w:t>
      </w:r>
      <w:r>
        <w:rPr>
          <w:rFonts w:ascii="Arial" w:hAnsi="Arial" w:cs="Arial"/>
          <w:sz w:val="22"/>
          <w:sz-cs w:val="22"/>
        </w:rPr>
        <w:t xml:space="preserve"/>
      </w:r>
    </w:p>
    <w:p>
      <w:pPr>
        <w:spacing w:after="240"/>
      </w:pPr>
      <w:r>
        <w:rPr>
          <w:rFonts w:ascii="Arial" w:hAnsi="Arial" w:cs="Arial"/>
          <w:sz w:val="22"/>
          <w:sz-cs w:val="22"/>
        </w:rPr>
        <w:t xml:space="preserve">Her actual credentials, TEDx talk, certification score, awards, and press coverage are stronger than any placeholder language. The approach is to build every proof point in the new materials from these specific, verifiable facts rather than generic claims.</w:t>
      </w:r>
    </w:p>
    <w:p>
      <w:pPr>
        <w:spacing w:after="120"/>
      </w:pPr>
      <w:r>
        <w:rPr>
          <w:rFonts w:ascii="Arial" w:hAnsi="Arial" w:cs="Arial"/>
          <w:sz w:val="26"/>
          <w:sz-cs w:val="26"/>
          <w:b/>
        </w:rPr>
        <w:t xml:space="preserve">Open items — to resolve during planning, not this audit</w:t>
      </w:r>
      <w:r>
        <w:rPr>
          <w:rFonts w:ascii="Arial" w:hAnsi="Arial" w:cs="Arial"/>
          <w:sz w:val="22"/>
          <w:sz-cs w:val="22"/>
        </w:rPr>
        <w:t xml:space="preserve"/>
      </w:r>
    </w:p>
    <w:p>
      <w:pPr>
        <w:ind w:left="360" w:first-line="-240"/>
        <w:spacing w:after="120"/>
      </w:pPr>
      <w:r>
        <w:rPr>
          <w:rFonts w:ascii="Arial" w:hAnsi="Arial" w:cs="Arial"/>
          <w:sz w:val="22"/>
          <w:sz-cs w:val="22"/>
        </w:rPr>
        <w:t xml:space="preserve">•</w:t>
        <w:tab/>
        <w:t xml:space="preserve"/>
      </w:r>
      <w:r>
        <w:rPr>
          <w:rFonts w:ascii="Arial" w:hAnsi="Arial" w:cs="Arial"/>
          <w:sz w:val="22"/>
          <w:sz-cs w:val="22"/>
          <w:b/>
        </w:rPr>
        <w:t xml:space="preserve">Buyer targeting:</w:t>
      </w:r>
      <w:r>
        <w:rPr>
          <w:rFonts w:ascii="Arial" w:hAnsi="Arial" w:cs="Arial"/>
          <w:sz w:val="22"/>
          <w:sz-cs w:val="22"/>
        </w:rPr>
        <w:t xml:space="preserve"> the buyer is decision-makers with corporate control (CEOs, founders, HR/sustainability leads with budget), but this is still too broad to target. Needs narrowing by industry, company size, or trigger (e.g., companies actively pursuing B Corp status).</w:t>
      </w:r>
    </w:p>
    <w:p>
      <w:pPr>
        <w:ind w:left="360" w:first-line="-240"/>
        <w:spacing w:after="120"/>
      </w:pPr>
      <w:r>
        <w:rPr>
          <w:rFonts w:ascii="Arial" w:hAnsi="Arial" w:cs="Arial"/>
          <w:sz w:val="22"/>
          <w:sz-cs w:val="22"/>
        </w:rPr>
        <w:t xml:space="preserve">•</w:t>
        <w:tab/>
        <w:t xml:space="preserve"/>
      </w:r>
      <w:r>
        <w:rPr>
          <w:rFonts w:ascii="Arial" w:hAnsi="Arial" w:cs="Arial"/>
          <w:sz w:val="22"/>
          <w:sz-cs w:val="22"/>
          <w:b/>
        </w:rPr>
        <w:t xml:space="preserve">Consulting deliverable shape:</w:t>
      </w:r>
      <w:r>
        <w:rPr>
          <w:rFonts w:ascii="Arial" w:hAnsi="Arial" w:cs="Arial"/>
          <w:sz w:val="22"/>
          <w:sz-cs w:val="22"/>
        </w:rPr>
        <w:t xml:space="preserve"> whether the offer is a single session, a multi-session engagement, or a retainer is undecided. Needed before pricing and sales messaging can be finalized.</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