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tbl>
      <w:tblPr>
        <w:tblW w:type="dxa" w:w="3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</w:tblGrid>
      <w:tr>
        <w:tc>
          <w:tcPr>
            <w:tcW w:type="dxa" w:w="3000"/>
            <w:tcBorders>
              <w:top w:val="dashed" w:color="CBC4AE" w:sz="4"/>
              <w:left w:val="dashed" w:color="CBC4AE" w:sz="4"/>
              <w:bottom w:val="dashed" w:color="CBC4AE" w:sz="4"/>
              <w:right w:val="dashed" w:color="CBC4AE" w:sz="4"/>
            </w:tcBorders>
            <w:shd w:fill="F7F3E6" w:val="clear"/>
            <w:tcMar>
              <w:top w:type="dxa" w:w="300"/>
              <w:left w:type="dxa" w:w="100"/>
              <w:bottom w:type="dxa" w:w="300"/>
              <w:right w:type="dxa" w:w="100"/>
            </w:tcMar>
          </w:tcPr>
          <w:p>
            <w:pPr>
              <w:jc w:val="center"/>
            </w:pPr>
            <w:r>
              <w:rPr>
                <w:i/>
                <w:iCs/>
                <w:color w:val="6B6B6B"/>
                <w:sz w:val="18"/>
                <w:szCs w:val="18"/>
              </w:rPr>
              <w:t xml:space="preserve">[Insert Company Logo]</w:t>
            </w:r>
          </w:p>
        </w:tc>
      </w:tr>
    </w:tbl>
    <w:p>
      <w:pPr>
        <w:spacing w:after="160"/>
      </w:pPr>
    </w:p>
    <w:p>
      <w:pPr>
        <w:spacing w:after="60"/>
      </w:pPr>
      <w:r>
        <w:rPr>
          <w:b/>
          <w:bCs/>
          <w:color w:val="0D9488"/>
          <w:sz w:val="17"/>
          <w:szCs w:val="17"/>
        </w:rPr>
        <w:t xml:space="preserve">VIBRATION HAZARDS MANAGEMENT</w:t>
      </w:r>
    </w:p>
    <w:p>
      <w:pPr>
        <w:pStyle w:val="Heading1"/>
        <w:spacing w:after="160"/>
      </w:pPr>
      <w:r>
        <w:rPr>
          <w:b/>
          <w:bCs/>
          <w:color w:val="0F172A"/>
          <w:sz w:val="28"/>
          <w:szCs w:val="28"/>
        </w:rPr>
        <w:t xml:space="preserve">Work Practices for Vibration Hazards Management</w:t>
      </w:r>
    </w:p>
    <w:p>
      <w:pPr>
        <w:spacing w:after="200"/>
      </w:pPr>
      <w:r>
        <w:rPr>
          <w:color w:val="0F172A"/>
          <w:sz w:val="22"/>
          <w:szCs w:val="22"/>
        </w:rPr>
        <w:t xml:space="preserve">Establishing safe work practices for minimizing vibration exposure, including limiting the duration of exposure, taking regular breaks, and using alternative methods where possible.</w:t>
      </w:r>
    </w:p>
    <w:p>
      <w:pPr>
        <w:spacing w:after="100" w:before="100"/>
      </w:pPr>
      <w:r>
        <w:rPr>
          <w:b/>
          <w:bCs/>
          <w:color w:val="0D9488"/>
          <w:sz w:val="22"/>
          <w:szCs w:val="22"/>
        </w:rPr>
        <w:t xml:space="preserve">Why This Matters</w:t>
      </w:r>
    </w:p>
    <w:p>
      <w:pPr>
        <w:spacing w:after="220"/>
      </w:pPr>
      <w:r>
        <w:rPr>
          <w:color w:val="0F172A"/>
          <w:sz w:val="21"/>
          <w:szCs w:val="21"/>
        </w:rPr>
        <w:t xml:space="preserve">Vibration-related injury develops gradually through cumulative exposure - by the time numbness, tingling, or reduced grip strength becomes noticeable, the underlying nerve or circulation damage is often already significant.</w:t>
      </w:r>
    </w:p>
    <w:tbl>
      <w:tblPr>
        <w:tblW w:type="dxa" w:w="98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800"/>
      </w:tblGrid>
      <w:tr>
        <w:tc>
          <w:tcPr>
            <w:tcW w:type="dxa" w:w="98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shd w:fill="F7F3E6" w:val="clear"/>
            <w:tcMar>
              <w:top w:type="dxa" w:w="140"/>
              <w:left w:type="dxa" w:w="160"/>
              <w:bottom w:type="dxa" w:w="140"/>
              <w:right w:type="dxa" w:w="160"/>
            </w:tcMar>
          </w:tcPr>
          <w:p>
            <w:pPr>
              <w:spacing w:after="60"/>
            </w:pPr>
            <w:r>
              <w:rPr>
                <w:b/>
                <w:bCs/>
                <w:color w:val="0F172A"/>
                <w:sz w:val="18"/>
                <w:szCs w:val="18"/>
              </w:rPr>
              <w:t xml:space="preserve">Relevant Regulation</w:t>
            </w:r>
          </w:p>
          <w:p>
            <w:r>
              <w:rPr>
                <w:color w:val="48595D"/>
                <w:sz w:val="16"/>
                <w:szCs w:val="16"/>
              </w:rPr>
              <w:t xml:space="preserve">Section 8 of the OHS Act places a general duty on every employer to identify and mitigate health risks at the workplace, which includes hand-arm and whole-body vibration exposure from tools and vehicles.</w:t>
            </w:r>
          </w:p>
        </w:tc>
      </w:tr>
    </w:tbl>
    <w:p>
      <w:pPr>
        <w:spacing w:after="220"/>
      </w:pPr>
    </w:p>
    <w:p>
      <w:pPr>
        <w:spacing w:after="100" w:before="100"/>
      </w:pPr>
      <w:r>
        <w:rPr>
          <w:b/>
          <w:bCs/>
          <w:color w:val="0D9488"/>
          <w:sz w:val="22"/>
          <w:szCs w:val="22"/>
        </w:rPr>
        <w:t xml:space="preserve">Discussion Points</w:t>
      </w:r>
    </w:p>
    <w:p>
      <w:pPr>
        <w:pStyle w:val="ListParagraph"/>
        <w:numPr>
          <w:ilvl w:val="0"/>
          <w:numId w:val="1"/>
        </w:numPr>
        <w:spacing w:after="120"/>
      </w:pPr>
      <w:r>
        <w:rPr>
          <w:i w:val="false"/>
          <w:iCs w:val="false"/>
          <w:color w:val="0F172A"/>
          <w:sz w:val="21"/>
          <w:szCs w:val="21"/>
        </w:rPr>
        <w:t xml:space="preserve">What to check: Establishing safe work practices for minimizing vibration exposure, including limiting the duration of exposure, taking regular breaks, and using alternative methods where possible.</w:t>
      </w:r>
    </w:p>
    <w:p>
      <w:pPr>
        <w:pStyle w:val="ListParagraph"/>
        <w:numPr>
          <w:ilvl w:val="0"/>
          <w:numId w:val="1"/>
        </w:numPr>
        <w:spacing w:after="120"/>
      </w:pPr>
      <w:r>
        <w:rPr>
          <w:i w:val="false"/>
          <w:iCs w:val="false"/>
          <w:color w:val="0F172A"/>
          <w:sz w:val="21"/>
          <w:szCs w:val="21"/>
        </w:rPr>
        <w:t xml:space="preserve">What could go wrong: situations on this site where "Work Practices" gets missed or rushed under time pressure.</w:t>
      </w:r>
    </w:p>
    <w:p>
      <w:pPr>
        <w:pStyle w:val="ListParagraph"/>
        <w:numPr>
          <w:ilvl w:val="0"/>
          <w:numId w:val="1"/>
        </w:numPr>
        <w:spacing w:after="120"/>
      </w:pPr>
      <w:r>
        <w:rPr>
          <w:i w:val="false"/>
          <w:iCs w:val="false"/>
          <w:color w:val="0F172A"/>
          <w:sz w:val="21"/>
          <w:szCs w:val="21"/>
        </w:rPr>
        <w:t xml:space="preserve">Who's responsible: everyone on this crew - speak up if you see this being skipped, don't assume someone else will.</w:t>
      </w:r>
    </w:p>
    <w:p>
      <w:pPr>
        <w:pStyle w:val="ListParagraph"/>
        <w:numPr>
          <w:ilvl w:val="0"/>
          <w:numId w:val="1"/>
        </w:numPr>
        <w:spacing w:after="120"/>
      </w:pPr>
      <w:r>
        <w:rPr>
          <w:i w:val="false"/>
          <w:iCs w:val="false"/>
          <w:color w:val="0F172A"/>
          <w:sz w:val="21"/>
          <w:szCs w:val="21"/>
        </w:rPr>
        <w:t xml:space="preserve">What to do if something's wrong: stop, report it to your supervisor, and don't continue until it's addressed.</w:t>
      </w:r>
    </w:p>
    <w:p>
      <w:pPr>
        <w:spacing w:after="100" w:before="220"/>
      </w:pPr>
      <w:r>
        <w:rPr>
          <w:b/>
          <w:bCs/>
          <w:color w:val="0D9488"/>
          <w:sz w:val="22"/>
          <w:szCs w:val="22"/>
        </w:rPr>
        <w:t xml:space="preserve">Questions For The Crew</w:t>
      </w:r>
    </w:p>
    <w:p>
      <w:pPr>
        <w:pStyle w:val="ListParagraph"/>
        <w:numPr>
          <w:ilvl w:val="0"/>
          <w:numId w:val="1"/>
        </w:numPr>
        <w:spacing w:after="120"/>
      </w:pPr>
      <w:r>
        <w:rPr>
          <w:i/>
          <w:iCs/>
          <w:color w:val="48595D"/>
          <w:sz w:val="21"/>
          <w:szCs w:val="21"/>
        </w:rPr>
        <w:t xml:space="preserve">Has anyone here seen a situation where "Work Practices" wasn't being followed properly on a site?</w:t>
      </w:r>
    </w:p>
    <w:p>
      <w:pPr>
        <w:pStyle w:val="ListParagraph"/>
        <w:numPr>
          <w:ilvl w:val="0"/>
          <w:numId w:val="1"/>
        </w:numPr>
        <w:spacing w:after="120"/>
      </w:pPr>
      <w:r>
        <w:rPr>
          <w:i/>
          <w:iCs/>
          <w:color w:val="48595D"/>
          <w:sz w:val="21"/>
          <w:szCs w:val="21"/>
        </w:rPr>
        <w:t xml:space="preserve">What would you do if you noticed a problem with "Work Practices" right now, on this site?</w:t>
      </w:r>
    </w:p>
    <w:p>
      <w:pPr>
        <w:spacing w:after="120" w:before="260"/>
      </w:pPr>
      <w:r>
        <w:rPr>
          <w:b/>
          <w:bCs/>
          <w:color w:val="0D9488"/>
          <w:sz w:val="22"/>
          <w:szCs w:val="22"/>
        </w:rPr>
        <w:t xml:space="preserve">Toolbox Talk Record</w:t>
      </w:r>
    </w:p>
    <w:p>
      <w:pPr>
        <w:spacing w:after="120"/>
      </w:pPr>
      <w:r>
        <w:rPr>
          <w:b/>
          <w:bCs/>
          <w:sz w:val="20"/>
          <w:szCs w:val="20"/>
        </w:rPr>
        <w:t xml:space="preserve">Date: </w:t>
      </w:r>
      <w:r>
        <w:rPr>
          <w:sz w:val="20"/>
          <w:szCs w:val="20"/>
        </w:rPr>
        <w:t xml:space="preserve">_______________     </w:t>
      </w:r>
      <w:r>
        <w:rPr>
          <w:b/>
          <w:bCs/>
          <w:sz w:val="20"/>
          <w:szCs w:val="20"/>
        </w:rPr>
        <w:t xml:space="preserve">Presented by: </w:t>
      </w:r>
      <w:r>
        <w:rPr>
          <w:sz w:val="20"/>
          <w:szCs w:val="20"/>
        </w:rPr>
        <w:t xml:space="preserve">_______________     </w:t>
      </w:r>
      <w:r>
        <w:rPr>
          <w:b/>
          <w:bCs/>
          <w:sz w:val="20"/>
          <w:szCs w:val="20"/>
        </w:rPr>
        <w:t xml:space="preserve">Site: </w:t>
      </w:r>
      <w:r>
        <w:rPr>
          <w:sz w:val="20"/>
          <w:szCs w:val="20"/>
        </w:rPr>
        <w:t xml:space="preserve">_______________</w:t>
      </w:r>
    </w:p>
    <w:tbl>
      <w:tblPr>
        <w:tblW w:type="dxa" w:w="96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3200"/>
        <w:gridCol w:w="3200"/>
      </w:tblGrid>
      <w:tr>
        <w:trPr>
          <w:tblHeader/>
        </w:trPr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shd w:fill="0D9488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Name</w:t>
            </w:r>
          </w:p>
        </w:tc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shd w:fill="0D9488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Signature</w:t>
            </w:r>
          </w:p>
        </w:tc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shd w:fill="0D9488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Date</w:t>
            </w:r>
          </w:p>
        </w:tc>
      </w:tr>
      <w:tr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</w:tr>
      <w:tr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</w:tr>
      <w:tr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</w:tr>
      <w:tr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</w:tr>
      <w:tr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</w:tr>
      <w:tr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</w:tr>
      <w:tr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</w:tr>
      <w:tr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</w:tr>
    </w:tbl>
    <w:p>
      <w:pPr>
        <w:spacing w:before="240"/>
      </w:pPr>
      <w:r>
        <w:rPr>
          <w:i/>
          <w:iCs/>
          <w:color w:val="48595D"/>
          <w:sz w:val="16"/>
          <w:szCs w:val="16"/>
        </w:rPr>
        <w:t xml:space="preserve">This toolbox talk is a general reference and does not replace site-specific risk assessment or a competent person's own judgement.</w:t>
      </w:r>
    </w:p>
    <w:sectPr>
      <w:pgSz w:w="11906" w:h="16838" w:orient="portrait"/>
      <w:pgMar w:top="900" w:right="900" w:bottom="900" w:left="9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2026-09-14T07:16:54.152Z</dcterms:created>
  <dcterms:modified xsi:type="dcterms:W3CDTF">2026-09-14T07:16:54.152Z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