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3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</w:tblGrid>
      <w:tr>
        <w:tc>
          <w:tcPr>
            <w:tcW w:type="dxa" w:w="3000"/>
            <w:tcBorders>
              <w:top w:val="dashed" w:color="CBC4AE" w:sz="4"/>
              <w:left w:val="dashed" w:color="CBC4AE" w:sz="4"/>
              <w:bottom w:val="dashed" w:color="CBC4AE" w:sz="4"/>
              <w:right w:val="dashed" w:color="CBC4AE" w:sz="4"/>
            </w:tcBorders>
            <w:shd w:fill="F7F3E6" w:val="clear"/>
            <w:tcMar>
              <w:top w:type="dxa" w:w="300"/>
              <w:left w:type="dxa" w:w="100"/>
              <w:bottom w:type="dxa" w:w="300"/>
              <w:right w:type="dxa" w:w="100"/>
            </w:tcMar>
          </w:tcPr>
          <w:p>
            <w:pPr>
              <w:jc w:val="center"/>
            </w:pPr>
            <w:r>
              <w:rPr>
                <w:i/>
                <w:iCs/>
                <w:color w:val="6B6B6B"/>
                <w:sz w:val="18"/>
                <w:szCs w:val="18"/>
              </w:rPr>
              <w:t xml:space="preserve">[Insert Company Logo]</w:t>
            </w:r>
          </w:p>
        </w:tc>
      </w:tr>
    </w:tbl>
    <w:p>
      <w:pPr>
        <w:spacing w:after="160"/>
      </w:pPr>
    </w:p>
    <w:p>
      <w:pPr>
        <w:spacing w:after="60"/>
      </w:pPr>
      <w:r>
        <w:rPr>
          <w:b/>
          <w:bCs/>
          <w:color w:val="0D9488"/>
          <w:sz w:val="17"/>
          <w:szCs w:val="17"/>
        </w:rPr>
        <w:t xml:space="preserve">BIODIVERSITY AND WILDLIFE HAZARDS MANAGEMENT</w:t>
      </w:r>
    </w:p>
    <w:p>
      <w:pPr>
        <w:pStyle w:val="Heading1"/>
        <w:spacing w:after="160"/>
      </w:pPr>
      <w:r>
        <w:rPr>
          <w:b/>
          <w:bCs/>
          <w:color w:val="0F172A"/>
          <w:sz w:val="28"/>
          <w:szCs w:val="28"/>
        </w:rPr>
        <w:t xml:space="preserve">Training and Education for Biodiversity and Wildlife Hazards Management</w:t>
      </w:r>
    </w:p>
    <w:p>
      <w:pPr>
        <w:spacing w:after="200"/>
      </w:pPr>
      <w:r>
        <w:rPr>
          <w:color w:val="0F172A"/>
          <w:sz w:val="22"/>
          <w:szCs w:val="22"/>
        </w:rPr>
        <w:t xml:space="preserve">Providing training and educational materials to workers on wildlife hazards, conservation principles, and proper response procedures.</w:t>
      </w:r>
    </w:p>
    <w:p>
      <w:pPr>
        <w:spacing w:after="100" w:before="100"/>
      </w:pPr>
      <w:r>
        <w:rPr>
          <w:b/>
          <w:bCs/>
          <w:color w:val="0D9488"/>
          <w:sz w:val="22"/>
          <w:szCs w:val="22"/>
        </w:rPr>
        <w:t xml:space="preserve">Why This Matters</w:t>
      </w:r>
    </w:p>
    <w:p>
      <w:pPr>
        <w:spacing w:after="220"/>
      </w:pPr>
      <w:r>
        <w:rPr>
          <w:color w:val="0F172A"/>
          <w:sz w:val="21"/>
          <w:szCs w:val="21"/>
        </w:rPr>
        <w:t xml:space="preserve">Wildlife encounters are often dismissed as unlikely right up until they happen - a site near natural vegetation, water, or bush can present real hazards (venomous species, large animals, disease vectors) that a purely industrial risk assessment might overlook.</w:t>
      </w:r>
    </w:p>
    <w:tbl>
      <w:tblPr>
        <w:tblW w:type="dxa" w:w="98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800"/>
      </w:tblGrid>
      <w:tr>
        <w:tc>
          <w:tcPr>
            <w:tcW w:type="dxa" w:w="98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shd w:fill="F7F3E6" w:val="clear"/>
            <w:tcMar>
              <w:top w:type="dxa" w:w="140"/>
              <w:left w:type="dxa" w:w="160"/>
              <w:bottom w:type="dxa" w:w="140"/>
              <w:right w:type="dxa" w:w="160"/>
            </w:tcMar>
          </w:tcPr>
          <w:p>
            <w:pPr>
              <w:spacing w:after="60"/>
            </w:pPr>
            <w:r>
              <w:rPr>
                <w:b/>
                <w:bCs/>
                <w:color w:val="0F172A"/>
                <w:sz w:val="18"/>
                <w:szCs w:val="18"/>
              </w:rPr>
              <w:t xml:space="preserve">Relevant Regulation</w:t>
            </w:r>
          </w:p>
          <w:p>
            <w:r>
              <w:rPr>
                <w:color w:val="48595D"/>
                <w:sz w:val="16"/>
                <w:szCs w:val="16"/>
              </w:rPr>
              <w:t xml:space="preserve">Section 8 of the OHS Act places a general duty on every employer to protect persons from workplace hazards, which extends to foreseeable wildlife risks on sites located in or near natural habitats.</w:t>
            </w:r>
          </w:p>
        </w:tc>
      </w:tr>
    </w:tbl>
    <w:p>
      <w:pPr>
        <w:spacing w:after="220"/>
      </w:pPr>
    </w:p>
    <w:p>
      <w:pPr>
        <w:spacing w:after="100" w:before="100"/>
      </w:pPr>
      <w:r>
        <w:rPr>
          <w:b/>
          <w:bCs/>
          <w:color w:val="0D9488"/>
          <w:sz w:val="22"/>
          <w:szCs w:val="22"/>
        </w:rPr>
        <w:t xml:space="preserve">Discussion Points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i w:val="false"/>
          <w:iCs w:val="false"/>
          <w:color w:val="0F172A"/>
          <w:sz w:val="21"/>
          <w:szCs w:val="21"/>
        </w:rPr>
        <w:t xml:space="preserve">What to check: Providing training and educational materials to workers on wildlife hazards, conservation principles, and proper response procedures.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i w:val="false"/>
          <w:iCs w:val="false"/>
          <w:color w:val="0F172A"/>
          <w:sz w:val="21"/>
          <w:szCs w:val="21"/>
        </w:rPr>
        <w:t xml:space="preserve">What could go wrong: situations on this site where "Training and Education" gets missed or rushed under time pressure.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i w:val="false"/>
          <w:iCs w:val="false"/>
          <w:color w:val="0F172A"/>
          <w:sz w:val="21"/>
          <w:szCs w:val="21"/>
        </w:rPr>
        <w:t xml:space="preserve">Who's responsible: everyone on this crew - speak up if you see this being skipped, don't assume someone else will.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i w:val="false"/>
          <w:iCs w:val="false"/>
          <w:color w:val="0F172A"/>
          <w:sz w:val="21"/>
          <w:szCs w:val="21"/>
        </w:rPr>
        <w:t xml:space="preserve">What to do if something's wrong: stop, report it to your supervisor, and don't continue until it's addressed.</w:t>
      </w:r>
    </w:p>
    <w:p>
      <w:pPr>
        <w:spacing w:after="100" w:before="220"/>
      </w:pPr>
      <w:r>
        <w:rPr>
          <w:b/>
          <w:bCs/>
          <w:color w:val="0D9488"/>
          <w:sz w:val="22"/>
          <w:szCs w:val="22"/>
        </w:rPr>
        <w:t xml:space="preserve">Questions For The Crew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i/>
          <w:iCs/>
          <w:color w:val="48595D"/>
          <w:sz w:val="21"/>
          <w:szCs w:val="21"/>
        </w:rPr>
        <w:t xml:space="preserve">Has anyone here seen a situation where "Training and Education" wasn't being followed properly on a site?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i/>
          <w:iCs/>
          <w:color w:val="48595D"/>
          <w:sz w:val="21"/>
          <w:szCs w:val="21"/>
        </w:rPr>
        <w:t xml:space="preserve">What would you do if you noticed a problem with "Training and Education" right now, on this site?</w:t>
      </w:r>
    </w:p>
    <w:p>
      <w:pPr>
        <w:spacing w:after="120" w:before="260"/>
      </w:pPr>
      <w:r>
        <w:rPr>
          <w:b/>
          <w:bCs/>
          <w:color w:val="0D9488"/>
          <w:sz w:val="22"/>
          <w:szCs w:val="22"/>
        </w:rPr>
        <w:t xml:space="preserve">Toolbox Talk Record</w:t>
      </w:r>
    </w:p>
    <w:p>
      <w:pPr>
        <w:spacing w:after="120"/>
      </w:pPr>
      <w:r>
        <w:rPr>
          <w:b/>
          <w:bCs/>
          <w:sz w:val="20"/>
          <w:szCs w:val="20"/>
        </w:rPr>
        <w:t xml:space="preserve">Date: </w:t>
      </w:r>
      <w:r>
        <w:rPr>
          <w:sz w:val="20"/>
          <w:szCs w:val="20"/>
        </w:rPr>
        <w:t xml:space="preserve">_______________     </w:t>
      </w:r>
      <w:r>
        <w:rPr>
          <w:b/>
          <w:bCs/>
          <w:sz w:val="20"/>
          <w:szCs w:val="20"/>
        </w:rPr>
        <w:t xml:space="preserve">Presented by: </w:t>
      </w:r>
      <w:r>
        <w:rPr>
          <w:sz w:val="20"/>
          <w:szCs w:val="20"/>
        </w:rPr>
        <w:t xml:space="preserve">_______________     </w:t>
      </w:r>
      <w:r>
        <w:rPr>
          <w:b/>
          <w:bCs/>
          <w:sz w:val="20"/>
          <w:szCs w:val="20"/>
        </w:rPr>
        <w:t xml:space="preserve">Site: </w:t>
      </w:r>
      <w:r>
        <w:rPr>
          <w:sz w:val="20"/>
          <w:szCs w:val="20"/>
        </w:rPr>
        <w:t xml:space="preserve">_______________</w:t>
      </w:r>
    </w:p>
    <w:tbl>
      <w:tblPr>
        <w:tblW w:type="dxa" w:w="96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3200"/>
        <w:gridCol w:w="3200"/>
      </w:tblGrid>
      <w:tr>
        <w:trPr>
          <w:tblHeader/>
        </w:trPr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shd w:fill="0D9488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Name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shd w:fill="0D9488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Signature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shd w:fill="0D9488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Date</w:t>
            </w:r>
          </w:p>
        </w:tc>
      </w:tr>
      <w:tr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</w:tbl>
    <w:p>
      <w:pPr>
        <w:spacing w:before="240"/>
      </w:pPr>
      <w:r>
        <w:rPr>
          <w:i/>
          <w:iCs/>
          <w:color w:val="48595D"/>
          <w:sz w:val="16"/>
          <w:szCs w:val="16"/>
        </w:rPr>
        <w:t xml:space="preserve">This toolbox talk is a general reference and does not replace site-specific risk assessment or a competent person's own judgement.</w:t>
      </w:r>
    </w:p>
    <w:sectPr>
      <w:pgSz w:w="11906" w:h="16838" w:orient="portrait"/>
      <w:pgMar w:top="900" w:right="900" w:bottom="900" w:left="9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2026-09-14T07:16:57.229Z</dcterms:created>
  <dcterms:modified xsi:type="dcterms:W3CDTF">2026-09-14T07:16:57.229Z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