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3000"/>
        <w:tblBorders>
          <w:top w:val="single" w:color="auto" w:sz="4"/>
          <w:left w:val="single" w:color="auto" w:sz="4"/>
          <w:bottom w:val="single" w:color="auto" w:sz="4"/>
          <w:right w:val="single" w:color="auto" w:sz="4"/>
          <w:insideH w:val="single" w:color="auto" w:sz="4"/>
          <w:insideV w:val="single" w:color="auto" w:sz="4"/>
        </w:tblBorders>
      </w:tblPr>
      <w:tblGrid>
        <w:gridCol w:w="3000"/>
      </w:tblGrid>
      <w:tr>
        <w:tc>
          <w:tcPr>
            <w:tcW w:type="dxa" w:w="3000"/>
            <w:tcBorders>
              <w:top w:val="dashed" w:color="CBC4AE" w:sz="4"/>
              <w:left w:val="dashed" w:color="CBC4AE" w:sz="4"/>
              <w:bottom w:val="dashed" w:color="CBC4AE" w:sz="4"/>
              <w:right w:val="dashed" w:color="CBC4AE" w:sz="4"/>
            </w:tcBorders>
            <w:shd w:fill="F7F3E6" w:val="clear"/>
            <w:tcMar>
              <w:top w:type="dxa" w:w="300"/>
              <w:left w:type="dxa" w:w="100"/>
              <w:bottom w:type="dxa" w:w="300"/>
              <w:right w:type="dxa" w:w="100"/>
            </w:tcMar>
          </w:tcPr>
          <w:p>
            <w:pPr>
              <w:jc w:val="center"/>
            </w:pPr>
            <w:r>
              <w:rPr>
                <w:i/>
                <w:iCs/>
                <w:color w:val="6B6B6B"/>
                <w:sz w:val="18"/>
                <w:szCs w:val="18"/>
              </w:rPr>
              <w:t xml:space="preserve">[Insert Company Logo]</w:t>
            </w:r>
          </w:p>
        </w:tc>
      </w:tr>
    </w:tbl>
    <w:p>
      <w:pPr>
        <w:spacing w:after="160"/>
      </w:pPr>
    </w:p>
    <w:p>
      <w:pPr>
        <w:spacing w:after="60"/>
      </w:pPr>
      <w:r>
        <w:rPr>
          <w:b/>
          <w:bCs/>
          <w:color w:val="0D9488"/>
          <w:sz w:val="17"/>
          <w:szCs w:val="17"/>
        </w:rPr>
        <w:t xml:space="preserve">MANUAL HANDLING</w:t>
      </w:r>
    </w:p>
    <w:p>
      <w:pPr>
        <w:pStyle w:val="Heading1"/>
        <w:spacing w:after="160"/>
      </w:pPr>
      <w:r>
        <w:rPr>
          <w:b/>
          <w:bCs/>
          <w:color w:val="0F172A"/>
          <w:sz w:val="28"/>
          <w:szCs w:val="28"/>
        </w:rPr>
        <w:t xml:space="preserve">Post-Lift Assessment for Manual Handling</w:t>
      </w:r>
    </w:p>
    <w:p>
      <w:pPr>
        <w:spacing w:after="200"/>
      </w:pPr>
      <w:r>
        <w:rPr>
          <w:color w:val="0F172A"/>
          <w:sz w:val="22"/>
          <w:szCs w:val="22"/>
        </w:rPr>
        <w:t xml:space="preserve">Checking for signs of strain or injury after lifting to catch and address issues early.</w:t>
      </w:r>
    </w:p>
    <w:p>
      <w:pPr>
        <w:spacing w:after="100" w:before="100"/>
      </w:pPr>
      <w:r>
        <w:rPr>
          <w:b/>
          <w:bCs/>
          <w:color w:val="0D9488"/>
          <w:sz w:val="22"/>
          <w:szCs w:val="22"/>
        </w:rPr>
        <w:t xml:space="preserve">Why This Matters</w:t>
      </w:r>
    </w:p>
    <w:p>
      <w:pPr>
        <w:spacing w:after="220"/>
      </w:pPr>
      <w:r>
        <w:rPr>
          <w:color w:val="0F172A"/>
          <w:sz w:val="21"/>
          <w:szCs w:val="21"/>
        </w:rPr>
        <w:t xml:space="preserve">Back injuries from manual handling are among the most common - and most preventable - workplace injuries. It's rarely the one heavy lift that causes the damage; it's the years of small, avoidable strain that finally catch up.</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9800"/>
      </w:tblGrid>
      <w:tr>
        <w:tc>
          <w:tcPr>
            <w:tcW w:type="dxa" w:w="9800"/>
            <w:tcBorders>
              <w:top w:val="single" w:color="CBC4AE" w:sz="4"/>
              <w:left w:val="single" w:color="CBC4AE" w:sz="4"/>
              <w:bottom w:val="single" w:color="CBC4AE" w:sz="4"/>
              <w:right w:val="single" w:color="CBC4AE" w:sz="4"/>
            </w:tcBorders>
            <w:shd w:fill="F7F3E6" w:val="clear"/>
            <w:tcMar>
              <w:top w:type="dxa" w:w="140"/>
              <w:left w:type="dxa" w:w="160"/>
              <w:bottom w:type="dxa" w:w="140"/>
              <w:right w:type="dxa" w:w="160"/>
            </w:tcMar>
          </w:tcPr>
          <w:p>
            <w:pPr>
              <w:spacing w:after="60"/>
            </w:pPr>
            <w:r>
              <w:rPr>
                <w:b/>
                <w:bCs/>
                <w:color w:val="0F172A"/>
                <w:sz w:val="18"/>
                <w:szCs w:val="18"/>
              </w:rPr>
              <w:t xml:space="preserve">Relevant Regulation</w:t>
            </w:r>
          </w:p>
          <w:p>
            <w:r>
              <w:rPr>
                <w:color w:val="48595D"/>
                <w:sz w:val="16"/>
                <w:szCs w:val="16"/>
              </w:rPr>
              <w:t xml:space="preserve">The Ergonomics Regulations, 2019 require an employer to assess the risk of manual handling tasks and to reduce that risk through mechanical aids, task redesign, or safe lifting technique where manual handling can't be avoided.</w:t>
            </w:r>
          </w:p>
        </w:tc>
      </w:tr>
    </w:tbl>
    <w:p>
      <w:pPr>
        <w:spacing w:after="220"/>
      </w:pPr>
    </w:p>
    <w:p>
      <w:pPr>
        <w:spacing w:after="100" w:before="100"/>
      </w:pPr>
      <w:r>
        <w:rPr>
          <w:b/>
          <w:bCs/>
          <w:color w:val="0D9488"/>
          <w:sz w:val="22"/>
          <w:szCs w:val="22"/>
        </w:rPr>
        <w:t xml:space="preserve">Discussion Points</w:t>
      </w:r>
    </w:p>
    <w:p>
      <w:pPr>
        <w:pStyle w:val="ListParagraph"/>
        <w:numPr>
          <w:ilvl w:val="0"/>
          <w:numId w:val="1"/>
        </w:numPr>
        <w:spacing w:after="120"/>
      </w:pPr>
      <w:r>
        <w:rPr>
          <w:i w:val="false"/>
          <w:iCs w:val="false"/>
          <w:color w:val="0F172A"/>
          <w:sz w:val="21"/>
          <w:szCs w:val="21"/>
        </w:rPr>
        <w:t xml:space="preserve">What to check: Checking for signs of strain or injury after lifting to catch and address issues early.</w:t>
      </w:r>
    </w:p>
    <w:p>
      <w:pPr>
        <w:pStyle w:val="ListParagraph"/>
        <w:numPr>
          <w:ilvl w:val="0"/>
          <w:numId w:val="1"/>
        </w:numPr>
        <w:spacing w:after="120"/>
      </w:pPr>
      <w:r>
        <w:rPr>
          <w:i w:val="false"/>
          <w:iCs w:val="false"/>
          <w:color w:val="0F172A"/>
          <w:sz w:val="21"/>
          <w:szCs w:val="21"/>
        </w:rPr>
        <w:t xml:space="preserve">What could go wrong: situations on this site where "Post-Lift Assessment" gets missed or rushed under time pressure.</w:t>
      </w:r>
    </w:p>
    <w:p>
      <w:pPr>
        <w:pStyle w:val="ListParagraph"/>
        <w:numPr>
          <w:ilvl w:val="0"/>
          <w:numId w:val="1"/>
        </w:numPr>
        <w:spacing w:after="120"/>
      </w:pPr>
      <w:r>
        <w:rPr>
          <w:i w:val="false"/>
          <w:iCs w:val="false"/>
          <w:color w:val="0F172A"/>
          <w:sz w:val="21"/>
          <w:szCs w:val="21"/>
        </w:rPr>
        <w:t xml:space="preserve">Who's responsible: everyone on this crew - speak up if you see this being skipped, don't assume someone else will.</w:t>
      </w:r>
    </w:p>
    <w:p>
      <w:pPr>
        <w:pStyle w:val="ListParagraph"/>
        <w:numPr>
          <w:ilvl w:val="0"/>
          <w:numId w:val="1"/>
        </w:numPr>
        <w:spacing w:after="120"/>
      </w:pPr>
      <w:r>
        <w:rPr>
          <w:i w:val="false"/>
          <w:iCs w:val="false"/>
          <w:color w:val="0F172A"/>
          <w:sz w:val="21"/>
          <w:szCs w:val="21"/>
        </w:rPr>
        <w:t xml:space="preserve">What to do if something's wrong: stop, report it to your supervisor, and don't continue until it's addressed.</w:t>
      </w:r>
    </w:p>
    <w:p>
      <w:pPr>
        <w:spacing w:after="100" w:before="220"/>
      </w:pPr>
      <w:r>
        <w:rPr>
          <w:b/>
          <w:bCs/>
          <w:color w:val="0D9488"/>
          <w:sz w:val="22"/>
          <w:szCs w:val="22"/>
        </w:rPr>
        <w:t xml:space="preserve">Questions For The Crew</w:t>
      </w:r>
    </w:p>
    <w:p>
      <w:pPr>
        <w:pStyle w:val="ListParagraph"/>
        <w:numPr>
          <w:ilvl w:val="0"/>
          <w:numId w:val="1"/>
        </w:numPr>
        <w:spacing w:after="120"/>
      </w:pPr>
      <w:r>
        <w:rPr>
          <w:i/>
          <w:iCs/>
          <w:color w:val="48595D"/>
          <w:sz w:val="21"/>
          <w:szCs w:val="21"/>
        </w:rPr>
        <w:t xml:space="preserve">Has anyone here seen a situation where "Post-Lift Assessment" wasn't being followed properly on a site?</w:t>
      </w:r>
    </w:p>
    <w:p>
      <w:pPr>
        <w:pStyle w:val="ListParagraph"/>
        <w:numPr>
          <w:ilvl w:val="0"/>
          <w:numId w:val="1"/>
        </w:numPr>
        <w:spacing w:after="120"/>
      </w:pPr>
      <w:r>
        <w:rPr>
          <w:i/>
          <w:iCs/>
          <w:color w:val="48595D"/>
          <w:sz w:val="21"/>
          <w:szCs w:val="21"/>
        </w:rPr>
        <w:t xml:space="preserve">What would you do if you noticed a problem with "Post-Lift Assessment" right now, on this site?</w:t>
      </w:r>
    </w:p>
    <w:p>
      <w:pPr>
        <w:spacing w:after="120" w:before="260"/>
      </w:pPr>
      <w:r>
        <w:rPr>
          <w:b/>
          <w:bCs/>
          <w:color w:val="0D9488"/>
          <w:sz w:val="22"/>
          <w:szCs w:val="22"/>
        </w:rPr>
        <w:t xml:space="preserve">Toolbox Talk Record</w:t>
      </w:r>
    </w:p>
    <w:p>
      <w:pPr>
        <w:spacing w:after="120"/>
      </w:pPr>
      <w:r>
        <w:rPr>
          <w:b/>
          <w:bCs/>
          <w:sz w:val="20"/>
          <w:szCs w:val="20"/>
        </w:rPr>
        <w:t xml:space="preserve">Date: </w:t>
      </w:r>
      <w:r>
        <w:rPr>
          <w:sz w:val="20"/>
          <w:szCs w:val="20"/>
        </w:rPr>
        <w:t xml:space="preserve">_______________     </w:t>
      </w:r>
      <w:r>
        <w:rPr>
          <w:b/>
          <w:bCs/>
          <w:sz w:val="20"/>
          <w:szCs w:val="20"/>
        </w:rPr>
        <w:t xml:space="preserve">Presented by: </w:t>
      </w:r>
      <w:r>
        <w:rPr>
          <w:sz w:val="20"/>
          <w:szCs w:val="20"/>
        </w:rPr>
        <w:t xml:space="preserve">_______________     </w:t>
      </w:r>
      <w:r>
        <w:rPr>
          <w:b/>
          <w:bCs/>
          <w:sz w:val="20"/>
          <w:szCs w:val="20"/>
        </w:rPr>
        <w:t xml:space="preserve">Site: </w:t>
      </w:r>
      <w:r>
        <w:rPr>
          <w:sz w:val="20"/>
          <w:szCs w:val="20"/>
        </w:rPr>
        <w:t xml:space="preserve">_______________</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3200"/>
      </w:tblGrid>
      <w:tr>
        <w:trPr>
          <w:tblHeader/>
        </w:trPr>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Name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Signature</w:t>
            </w:r>
          </w:p>
        </w:tc>
        <w:tc>
          <w:tcPr>
            <w:tcW w:type="dxa" w:w="3200"/>
            <w:tcBorders>
              <w:top w:val="single" w:color="CBC4AE" w:sz="4"/>
              <w:left w:val="single" w:color="CBC4AE" w:sz="4"/>
              <w:bottom w:val="single" w:color="CBC4AE" w:sz="4"/>
              <w:right w:val="single" w:color="CBC4AE" w:sz="4"/>
            </w:tcBorders>
            <w:shd w:fill="0D9488" w:val="clear"/>
            <w:tcMar>
              <w:top w:type="dxa" w:w="80"/>
              <w:left w:type="dxa" w:w="100"/>
              <w:bottom w:type="dxa" w:w="80"/>
              <w:right w:type="dxa" w:w="100"/>
            </w:tcMar>
            <w:vAlign w:val="center"/>
          </w:tcPr>
          <w:p>
            <w:r>
              <w:rPr>
                <w:b/>
                <w:bCs/>
                <w:color w:val="FFFFFF"/>
                <w:sz w:val="19"/>
                <w:szCs w:val="19"/>
              </w:rPr>
              <w:t xml:space="preserve">Date</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r>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c>
          <w:tcPr>
            <w:tcW w:type="dxa" w:w="3200"/>
            <w:tcBorders>
              <w:top w:val="single" w:color="CBC4AE" w:sz="4"/>
              <w:left w:val="single" w:color="CBC4AE" w:sz="4"/>
              <w:bottom w:val="single" w:color="CBC4AE" w:sz="4"/>
              <w:right w:val="single" w:color="CBC4AE" w:sz="4"/>
            </w:tcBorders>
            <w:tcMar>
              <w:top w:type="dxa" w:w="60"/>
              <w:left w:type="dxa" w:w="100"/>
              <w:bottom w:type="dxa" w:w="60"/>
              <w:right w:type="dxa" w:w="100"/>
            </w:tcMar>
          </w:tcPr>
          <w:p>
            <w:r>
              <w:t xml:space="preserve"> </w:t>
            </w:r>
          </w:p>
        </w:tc>
      </w:tr>
    </w:tbl>
    <w:p>
      <w:pPr>
        <w:spacing w:before="240"/>
      </w:pPr>
      <w:r>
        <w:rPr>
          <w:i/>
          <w:iCs/>
          <w:color w:val="48595D"/>
          <w:sz w:val="16"/>
          <w:szCs w:val="16"/>
        </w:rPr>
        <w:t xml:space="preserve">This toolbox talk is a general reference and does not replace site-specific risk assessment or a competent person's own judgement.</w:t>
      </w:r>
    </w:p>
    <w:sectPr>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2026-09-14T07:16:47.543Z</dcterms:created>
  <dcterms:modified xsi:type="dcterms:W3CDTF">2026-09-14T07:16:47.543Z</dcterms:modified>
</cp:coreProperties>
</file>

<file path=docProps/custom.xml><?xml version="1.0" encoding="utf-8"?>
<Properties xmlns="http://schemas.openxmlformats.org/officeDocument/2006/custom-properties" xmlns:vt="http://schemas.openxmlformats.org/officeDocument/2006/docPropsVTypes"/>
</file>