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UC/CD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pgnpstgmypcqanfdvxieb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currently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TL1A/IL-23 assets are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wwrdxf1ci7otmozg_uxcw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xdbkfbo1ewb7ieijtfjot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IBD usually begins between 15 and 35; a Crohn's diagnosis is often </w:t>
      </w:r>
      <w:hyperlink w:history="1" r:id="rIdpgt3taxiy50avelyd5xlw">
        <w:r>
          <w:rPr>
            <w:rStyle w:val="Hyperlink"/>
          </w:rPr>
          <w:t xml:space="preserve">delayed ~5-9 months and follows roughly 3.5 physician visits</w:t>
        </w:r>
      </w:hyperlink>
      <w:r>
        <w:t xml:space="preserve">, and that delay tracks with strictures and surgery — so the population reaching an advanced therapy is young, working-age, and frequently already complicated. Their lived experience is flares, steroid courses, infusion-center visits or self-injection, and the fear of surgery; “better,” from their side, means steroid-free remission, no colectomy, fewer flares, and a dosing schedule that fits a working life. Real-world data show how high that bar is: </w:t>
      </w:r>
      <w:hyperlink w:history="1" r:id="rIdgx2qu61emntf5gnrhctas">
        <w:r>
          <w:rPr>
            <w:rStyle w:val="Hyperlink"/>
          </w:rPr>
          <w:t xml:space="preserve">only ~45-48% remain on their first biologic at one year</w:t>
        </w:r>
      </w:hyperlink>
      <w:r>
        <w:t xml:space="preserve"> before loss of response or dosing burden moves them off it. A durable, deep, conveniently-dosed remission is therefore a patient outcome and a commercial moat at once.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bctpsflyylpaq7dckhifk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The bet is on two genetically human-validated targets. </w:t>
      </w:r>
      <w:r>
        <w:rPr>
          <w:b/>
          <w:bCs/>
        </w:rPr>
        <w:t xml:space="preserve">TL1A</w:t>
      </w:r>
      <w:r>
        <w:t xml:space="preserve"> — the </w:t>
      </w:r>
      <w:hyperlink w:history="1" r:id="rIdyymcxdueheferk_iej292">
        <w:r>
          <w:rPr>
            <w:rStyle w:val="Hyperlink"/>
          </w:rPr>
          <w:t xml:space="preserve">TNFSF15 gene product</w:t>
        </w:r>
      </w:hyperlink>
      <w:r>
        <w:t xml:space="preserve"> (TNF superfamily) — costimulates effector T cells via its receptor </w:t>
      </w:r>
      <w:r>
        <w:rPr>
          <w:b/>
          <w:bCs/>
        </w:rPr>
        <w:t xml:space="preserve">DR3</w:t>
      </w:r>
      <w:r>
        <w:t xml:space="preserve"> (TNFRSF25) and is buffered by the decoy DcR3; TNFSF15 is a validated IBD risk locus across multiple ancestries, and TL1A/DR3 is upregulated in inflamed UC and CD mucosa, driving Th1/Th17 inflammation and fibro-stromal remodeling. </w:t>
      </w:r>
      <w:r>
        <w:rPr>
          <w:b/>
          <w:bCs/>
        </w:rPr>
        <w:t xml:space="preserve">IL-23</w:t>
      </w:r>
      <w:r>
        <w:t xml:space="preserve"> — a p19 (IL23A) + p40 heterodimer signalling via IL-23R — sustains pathogenic Th17, and </w:t>
      </w:r>
      <w:r>
        <w:rPr>
          <w:b/>
          <w:bCs/>
        </w:rPr>
        <w:t xml:space="preserve">IL23R</w:t>
      </w:r>
      <w:r>
        <w:t xml:space="preserve"> is itself a landmark IBD gene. Both arms are validated by human genetics and by drugs; what is unproven is their combination, not either target. </w:t>
      </w:r>
      <w:r>
        <w:rPr>
          <w:b/>
          <w:bCs/>
        </w:rPr>
        <w:t xml:space="preserve">On-target ceiling: </w:t>
      </w:r>
      <w:r>
        <w:t xml:space="preserve">DR3 signalling also supports regulatory-T-cell homeostasis, so the theoretical limit on TL1A blockade is immune over-suppression — and the concrete clinical question that gates the bispecific is infection risk under simultaneous TL1A + IL-23 blockade (Section 6).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d1fwb5p9loklv7n57pdzn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h4d5dalskgxrjrmvtvz57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tebxrfiu7dknmmydgoivl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060"/>
        <w:gridCol w:w="31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CLD-423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Caldera (Qyuns)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IL-23p19×TL1A bisp,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l6aysip6x6kmkft1ukknq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IL-23p19 standard in UC is the benchmark a bispecific has to clear: </w:t>
            </w:r>
            <w:hyperlink w:history="1" r:id="rIdz-qvftmfofgr_i2jvmxdv">
              <w:r>
                <w:rPr>
                  <w:rStyle w:val="Hyperlink"/>
                </w:rPr>
                <w:t xml:space="preserve">risankizumab Wk12 remission 20.3% vs 6.2%; guselkumab Wk44 maintenance 50% / 45% vs 19% (with roughly two-thirds of remitters also in endoscopic remission); mirikizumab ~50% maintenance</w:t>
              </w:r>
            </w:hyperlink>
            <w:r>
              <w:t xml:space="preserve">. To justify the added format/safety/CMC complexity, a dual-mechanism asset must show induction above ~25-30% and durable maintenance and endoscopic healing materially beyond this — additive efficacy, not parity.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Competitive data becomes a BD decision only once you layer on who controls each asset, whether it can be transacted, and what its existence means for a buyer: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1340"/>
        <w:gridCol w:w="4900"/>
      </w:tblGrid>
      <w:tr>
        <w:trPr>
          <w:tblHeader/>
        </w:trPr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62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4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(acq. Prometheus)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sets the monospecific bar; not for sale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+ Teva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partnered / 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co-owned; defines the Ph3 monospecific benchmark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(acq. Telavant)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in-house; Roche also holds the RO7837195 bispecific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SPY002 / platform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cleanest pure-play IBD-platform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/ Pfizer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clinical data; not available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long-acting bispecific inside one small company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bispecific; Xencor licenses readily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validated monospecifics are all locked inside large pharma; the transactable bispecific optionality sits with a small set of independents — </w:t>
      </w:r>
      <w:r>
        <w:rPr>
          <w:b/>
          <w:bCs/>
        </w:rPr>
        <w:t xml:space="preserve">Spyre, Mirador, Xencor</w:t>
      </w:r>
      <w:r>
        <w:t xml:space="preserve"> — plus the China-origin programs (Section 10). That is where a TL1A×IL-23 position can actually be acquired, and the timing of any move is gated by their catalysts (Section 7).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e6f7hhrbuu0f0atrykx-d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spacing w:after="120"/>
      </w:pPr>
      <w:r>
        <w:rPr>
          <w:b/>
          <w:bCs/>
        </w:rPr>
        <w:t xml:space="preserve">Beyond IBD. </w:t>
      </w:r>
      <w:r>
        <w:t xml:space="preserve">The mechanism is not IBD-only: Merck has moved tulisokibart into </w:t>
      </w:r>
      <w:hyperlink w:history="1" r:id="rIdbthv6xizowei4pfshravk">
        <w:r>
          <w:rPr>
            <w:rStyle w:val="Hyperlink"/>
          </w:rPr>
          <w:t xml:space="preserve">Phase 2b in hidradenitis suppurativa, axial spondyloarthritis and rheumatoid arthritis</w:t>
        </w:r>
      </w:hyperlink>
      <w:r>
        <w:t xml:space="preserve">, and IL-23p19 agents are already approved in psoriasis and psoriatic arthritis. A TL1A×IL-23 asset therefore carries label-expansion optionality that widens its addressable market — and its platform value — beyond the IBD numbers above.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Spyre management has publicly characterized first-generation TL1A bispecifics as showing unfavorable immunogenicity, while XmAb942 (anti-TL1A) reports no anti-drug antibodies to date. Clean immunogenicity is therefore both a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rm_nxq_xjnuqbgwun_dfu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a primary focus of a partner's diligence.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spacing w:after="120"/>
      </w:pPr>
      <w:r>
        <w:rPr>
          <w:b/>
          <w:bCs/>
        </w:rPr>
        <w:t xml:space="preserve">Regulatory read. </w:t>
      </w:r>
      <w:r>
        <w:t xml:space="preserve">The path is well-mapped, not novel: the FDA accepts modified-Mayo clinical remission plus endoscopic improvement in UC (and CDAI / endoscopic endpoints in CD), placebo remission runs ~10-13%, and the class already has approvals across IL-23p19, JAK and S1P. A bispecific's gating risk is therefore comparative efficacy and the dual-blockade safety package — not regulatory uncertainty about the endpoint or the pathway.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Access consolidation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bispecific collapses dual-mechanism control into one approval, one reimbursement, one step-therapy hurdle and one co-pay — removing the formulary friction of getting two separate biologics covered and co-administered. This is a core part of the bispecific value case, alongside efficacy.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 (HXN-1003)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bispecific; broader Sanofi-Earendil collab ~$2.56B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BI-Simcere (SIM0709)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€42M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~€1.06B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 the monotherapy combination preclinically; BI ex-Greater China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China-originated, and a </w:t>
      </w:r>
      <w:hyperlink w:history="1" r:id="rId54pqcmc5mpnwd_klvglhl">
        <w:r>
          <w:rPr>
            <w:rStyle w:val="Hyperlink"/>
          </w:rPr>
          <w:t xml:space="preserve">string of 2025-26 deals has moved it from conceptual to deal-validated preclinical scarcity</w:t>
        </w:r>
      </w:hyperlink>
      <w:r>
        <w:t xml:space="preserve">: Simcere (SIM0709 → Boehringer Ingelheim, up to €1.058B, with BI citing preclinical superiority over the monotherapy combination), Qyuns (CLD-423, in-licensed by US NewCo Caldera and now in Phase 1), Earendil (HXN-1003 → Sanofi, up to ~$1.8B), LaNova (LQ080 → Zymeworks ex-China), plus NovaMab, Elpiscience and Biocad. The recurring pattern is a Western pharma — or a US NewCo — licensing-in a China-originated bispecific; Western-quality data and clean IP convert the molecule into a premium transaction. The BD window is open now and likely tightens once the first human efficacy signals (RO7837195, CLD-423, MT-251) read out.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Preclinical superiority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beats each monotherapy AND the free combination of the two in colitis models (the bar SIM0709 set); simultaneous dual TL1A + IL-23 binding demonstrated on one molecule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Fibrosis-relevant data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fibroblast-activation / collagen / histology (or an imaging proxy) supporting the CD stricture-differentiation claim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test of an intelligence brief is not only what it claims, but what would falsify each claim. 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bispecific readout with no additive efficacy over the best monospecific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dual-mechanism thesis fails; bispecific value reverts to &lt; $1B (Section 11)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infection or immunogenicity signal under dual blockade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discount; the deal range compresses toward $3-6B (Section 9)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ATLAS-UC and the early bispecific reads both positive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premium and partnering urgency rise (Scenario A)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oral (JAK / TYK2) reaching durable deep remission at the bispecific's bar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injectable's differentiation narrows; convenience advantage shifts to orals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source. Where a claim is a hypothesis rather than an established fact — the OSM selection-marker direction, the 30-40% dual-blockade ceiling, the additive-efficacy premise itself — it is labelled as such, not asserted. That is the standard this brief holds itself to: a claim you can answer, source, rate for confidence, and say what would change.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gnpstgmypcqanfdvxieb" Type="http://schemas.openxmlformats.org/officeDocument/2006/relationships/hyperlink" Target="https://www.fiercebiotech.com/biotech/sanofi-pens-18b-deal-2-bispecific-antibodies-aimed-autoimmune-immunology" TargetMode="External"/><Relationship Id="rIdwwrdxf1ci7otmozg_uxcw" Type="http://schemas.openxmlformats.org/officeDocument/2006/relationships/hyperlink" Target="https://gi.org/journals-publications/ebgi/kochar_dec2024/" TargetMode="External"/><Relationship Id="rIdxdbkfbo1ewb7ieijtfjot" Type="http://schemas.openxmlformats.org/officeDocument/2006/relationships/hyperlink" Target="https://www.crohnscolitisfoundation.org/what-is-ibd/facts-stats" TargetMode="External"/><Relationship Id="rIdpgt3taxiy50avelyd5xlw" Type="http://schemas.openxmlformats.org/officeDocument/2006/relationships/hyperlink" Target="https://pubmed.ncbi.nlm.nih.gov/39551466/" TargetMode="External"/><Relationship Id="rIdgx2qu61emntf5gnrhctas" Type="http://schemas.openxmlformats.org/officeDocument/2006/relationships/hyperlink" Target="https://academic.oup.com/crohnscolitis360/article/5/4/otad051/7276322" TargetMode="External"/><Relationship Id="rIdbctpsflyylpaq7dckhifk" Type="http://schemas.openxmlformats.org/officeDocument/2006/relationships/hyperlink" Target="https://www.crohnscolitisfoundation.org/what-is-ibd/facts-stats" TargetMode="External"/><Relationship Id="rIdyymcxdueheferk_iej292" Type="http://schemas.openxmlformats.org/officeDocument/2006/relationships/hyperlink" Target="https://www.frontiersin.org/articles/10.3389/fimmu.2019.00583/full" TargetMode="External"/><Relationship Id="rIdd1fwb5p9loklv7n57pdzn" Type="http://schemas.openxmlformats.org/officeDocument/2006/relationships/hyperlink" Target="https://www.nejm.org/doi/abs/10.1056/NEJMoa2314076" TargetMode="External"/><Relationship Id="rIdh4d5dalskgxrjrmvtvz57" Type="http://schemas.openxmlformats.org/officeDocument/2006/relationships/hyperlink" Target="https://www.nejm.org/doi/full/10.1056/NEJMoa2207940" TargetMode="External"/><Relationship Id="rIdtebxrfiu7dknmmydgoivl" Type="http://schemas.openxmlformats.org/officeDocument/2006/relationships/hyperlink" Target="https://clinicaltrials.gov/study/NCT06979336" TargetMode="External"/><Relationship Id="rIdl6aysip6x6kmkft1ukknq" Type="http://schemas.openxmlformats.org/officeDocument/2006/relationships/hyperlink" Target="https://www.thelancet.com/journals/langas/article/PIIS2468-1253(25)00129-3/abstract" TargetMode="External"/><Relationship Id="rIdz-qvftmfofgr_i2jvmxdv" Type="http://schemas.openxmlformats.org/officeDocument/2006/relationships/hyperlink" Target="https://pubmed.ncbi.nlm.nih.gov/38445187/" TargetMode="External"/><Relationship Id="rIde6f7hhrbuu0f0atrykx-d" Type="http://schemas.openxmlformats.org/officeDocument/2006/relationships/hyperlink" Target="https://www.frontiersin.org/journals/gastroenterology/articles/10.3389/fgstr.2026.1747118/full" TargetMode="External"/><Relationship Id="rIdbthv6xizowei4pfshravk" Type="http://schemas.openxmlformats.org/officeDocument/2006/relationships/hyperlink" Target="https://www.merck.com/news/merck-expands-tulisokibart-clinical-development-program-with-initiation-of-phase-2b-trials-in-three-additional-immune-mediated-inflammatory-diseases/" TargetMode="External"/><Relationship Id="rIdrm_nxq_xjnuqbgwun_dfu" Type="http://schemas.openxmlformats.org/officeDocument/2006/relationships/hyperlink" Target="https://academic.oup.com/ecco-jcc/article/19/Supplement_1/i1158/7967681" TargetMode="External"/><Relationship Id="rId54pqcmc5mpnwd_klvglhl" Type="http://schemas.openxmlformats.org/officeDocument/2006/relationships/hyperlink" Target="https://www.fiercebiotech.com/biotech/boehringer-pens-eu105b-deal-simceres-preclinical-ibd-bispecific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2026-06-09T15:00:07.871Z</dcterms:created>
  <dcterms:modified xsi:type="dcterms:W3CDTF">2026-06-09T15:00:07.877Z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