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20"/>
          <w:szCs w:val="20"/>
        </w:rPr>
        <w:t xml:space="preserve">  ◆ THE MERIDIAN</w:t>
      </w:r>
    </w:p>
    <w:p>
      <w:pPr>
        <w:shd w:fill="1A3F8F" w:val="clear"/>
        <w:spacing w:after="0"/>
      </w:pPr>
      <w:r>
        <w:rPr>
          <w:color w:val="AFC6E9"/>
          <w:sz w:val="15"/>
          <w:szCs w:val="15"/>
        </w:rPr>
        <w:t xml:space="preserve">  AREA INTELLIGENCE BRIEF  ·  EXECUTIVE / SCIENTIFIC EDITION</w:t>
      </w:r>
    </w:p>
    <w:p>
      <w:pPr>
        <w:shd w:fill="1A3F8F" w:val="clear"/>
        <w:spacing w:after="30" w:before="40"/>
      </w:pPr>
      <w:r>
        <w:rPr>
          <w:b/>
          <w:bCs/>
          <w:color w:val="FFFFFF"/>
          <w:sz w:val="31"/>
          <w:szCs w:val="31"/>
        </w:rPr>
        <w:t xml:space="preserve">  TL1A × IL-23p19 in Ulcerative Colitis &amp; IBD</w:t>
      </w:r>
    </w:p>
    <w:p>
      <w:pPr>
        <w:shd w:fill="1A3F8F" w:val="clear"/>
        <w:spacing w:after="60"/>
      </w:pPr>
      <w:r>
        <w:rPr>
          <w:color w:val="D7E3F5"/>
          <w:sz w:val="15"/>
          <w:szCs w:val="15"/>
        </w:rPr>
        <w:t xml:space="preserve">  Mechanism focus: ALX001 (TL1A × IL-23p19 bispecific)  ·  Prepared for the Ailux Board, CEO, CSO &amp; R&amp;D leadership  ·  June 7, 2026  ·  v6</w:t>
      </w:r>
    </w:p>
    <w:p>
      <w:pPr>
        <w:spacing w:after="50" w:before="80"/>
      </w:pPr>
      <w:r>
        <w:rPr>
          <w:i/>
          <w:iCs/>
        </w:rPr>
        <w:t xml:space="preserve">Source-traced (numbered footnotes → ClinicalTrials.gov, company IR, conference abstracts, Meridian intelligence graph). This edition reasons from patient need up to the deal — the Meridian North Star: value derives upward from the patient.</w:t>
      </w:r>
    </w:p>
    <w:p>
      <w:pPr>
        <w:spacing w:after="120"/>
      </w:pPr>
      <w:r>
        <w:rPr>
          <w:b/>
          <w:bCs/>
          <w:sz w:val="16"/>
          <w:szCs w:val="16"/>
        </w:rPr>
        <w:t xml:space="preserve">Epistemic key (claims tagged): </w:t>
      </w:r>
      <w:r>
        <w:rPr>
          <w:b/>
          <w:bCs/>
          <w:color w:val="15803D"/>
          <w:sz w:val="16"/>
          <w:szCs w:val="16"/>
        </w:rPr>
        <w:t xml:space="preserve">[F] FACT</w:t>
      </w:r>
      <w:r>
        <w:rPr>
          <w:color w:val="64748B"/>
          <w:sz w:val="16"/>
          <w:szCs w:val="16"/>
        </w:rPr>
        <w:t xml:space="preserve"> in a source · </w:t>
      </w:r>
      <w:r>
        <w:rPr>
          <w:b/>
          <w:bCs/>
          <w:color w:val="1A3F8F"/>
          <w:sz w:val="16"/>
          <w:szCs w:val="16"/>
        </w:rPr>
        <w:t xml:space="preserve">[I] INFERENCE</w:t>
      </w:r>
      <w:r>
        <w:rPr>
          <w:color w:val="64748B"/>
          <w:sz w:val="16"/>
          <w:szCs w:val="16"/>
        </w:rPr>
        <w:t xml:space="preserve"> reasoned · </w:t>
      </w:r>
      <w:r>
        <w:rPr>
          <w:b/>
          <w:bCs/>
          <w:color w:val="B45309"/>
          <w:sz w:val="16"/>
          <w:szCs w:val="16"/>
        </w:rPr>
        <w:t xml:space="preserve">[J] JUDGMENT</w:t>
      </w:r>
      <w:r>
        <w:rPr>
          <w:color w:val="64748B"/>
          <w:sz w:val="16"/>
          <w:szCs w:val="16"/>
        </w:rPr>
        <w:t xml:space="preserve"> Meridian's view · </w:t>
      </w:r>
      <w:r>
        <w:rPr>
          <w:b/>
          <w:bCs/>
          <w:color w:val="B91C1C"/>
          <w:sz w:val="16"/>
          <w:szCs w:val="16"/>
        </w:rPr>
        <w:t xml:space="preserve">[P] PREDICTION</w:t>
      </w:r>
      <w:r>
        <w:rPr>
          <w:color w:val="64748B"/>
          <w:sz w:val="16"/>
          <w:szCs w:val="16"/>
        </w:rPr>
        <w:t xml:space="preserve"> falsifiable, scored on the Predictions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6"/>
                <w:szCs w:val="26"/>
              </w:rPr>
              <w:t xml:space="preserve">1.68M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6"/>
                <w:szCs w:val="26"/>
              </w:rPr>
              <w:t xml:space="preserve">$15B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IBD biologic market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6"/>
                <w:szCs w:val="26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fail biologics in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6"/>
                <w:szCs w:val="26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80"/>
              <w:left w:type="dxa" w:w="50"/>
              <w:bottom w:type="dxa" w:w="8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6"/>
                <w:szCs w:val="26"/>
              </w:rPr>
              <w:t xml:space="preserve">30-40%</w:t>
            </w:r>
          </w:p>
          <w:p>
            <w:pPr>
              <w:jc w:val="center"/>
            </w:pPr>
            <w:r>
              <w:rPr>
                <w:color w:val="64748B"/>
                <w:sz w:val="13"/>
                <w:szCs w:val="13"/>
              </w:rPr>
              <w:t xml:space="preserve">dual-blockade target</w:t>
            </w:r>
          </w:p>
        </w:tc>
      </w:tr>
    </w:tbl>
    <w:p>
      <w:pPr>
        <w:spacing w:after="120" w:before="26"/>
      </w:pPr>
      <w:r>
        <w:rPr>
          <w:i/>
          <w:iCs/>
          <w:color w:val="14274A"/>
          <w:sz w:val="15"/>
          <w:szCs w:val="15"/>
        </w:rPr>
        <w:t xml:space="preserve">The thesis in one line: the value of ALX001 is the size of the gap between today's ~15-20% deep-remission ceiling and the 30-40% a TL1A×IL-23p19 bispecific could reach — across a 1.68M-patient, $15B market where half of patients fail current drugs.</w:t>
      </w:r>
    </w:p>
    <w:p>
      <w:pPr>
        <w:pStyle w:val="Heading1"/>
      </w:pPr>
      <w:r>
        <w:t xml:space="preserve">Meridian Assessment — the decision</w:t>
      </w:r>
    </w:p>
    <w:p>
      <w:pPr>
        <w:spacing w:after="120"/>
      </w:pPr>
      <w:r>
        <w:rPr>
          <w:b/>
          <w:bCs/>
        </w:rPr>
        <w:t xml:space="preserve">Recommendation. </w:t>
      </w:r>
      <w:r>
        <w:t xml:space="preserve">Do not contest the monospecific lane (a four-way Phase 3 race with a clear front-runner). Commit ALX001 to the open, value-defining contest: be the </w:t>
      </w:r>
      <w:r>
        <w:rPr>
          <w:b/>
          <w:bCs/>
        </w:rPr>
        <w:t xml:space="preserve">first TL1A × IL-23p19 bispecific to produce a validation event strong enough to compel a premium deal</w:t>
      </w:r>
      <w:r>
        <w:t xml:space="preserve">. Concretely: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Protect clinical-entry timing as the #1 corporate priority</w:t>
      </w:r>
      <w:r>
        <w:t xml:space="preserve"> — the p19-bispecific clinic is nearly empty (MT-251 Ph1; the rest preclinical). The window is the asset.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Engineer to the format frontier</w:t>
      </w:r>
      <w:r>
        <w:t xml:space="preserve"> — long-acting subcutaneous (XmAb942-class ~74-day half-life), not the IV burden of the front-runner.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Sequence BD around ABBV-701 Ph1 (~Oct 2026) and ATLAS-UC topline (~Q4 2026); prioritize Takeda; partner before the post-Phase-3 valuation reset.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Bottom line for the board: </w:t>
            </w:r>
            <w:r>
              <w:t xml:space="preserve">this is a pioneer-mechanism bet with an established-mechanism safety net. The IL-23p19 arm is regulatorily de-risked; the TL1A arm and the additive-efficacy hypothesis are the science at the frontier. If dual blockade closes the target-engagement-to-remission gap even partway, ALX001 sits in a $10B-deal comp set.</w:t>
            </w:r>
          </w:p>
        </w:tc>
      </w:tr>
    </w:tbl>
    <w:p>
      <w:pPr>
        <w:pStyle w:val="Heading2"/>
      </w:pPr>
      <w:r>
        <w:t xml:space="preserve">The forcing question: why does ALX001 deserve to exist?</w:t>
      </w:r>
    </w:p>
    <w:p>
      <w:pPr>
        <w:spacing w:after="120"/>
      </w:pPr>
      <w:r>
        <w:t xml:space="preserve">MT-251, RO7837195, XmAb412 and ABBV-701 already exist. A board must be able to answer, crisply, why a new entrant earns a place. The honest, six-part answer — strong where it is strong, weak where it is weak: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5050"/>
        <w:gridCol w:w="216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5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ALX001's claim</w:t>
            </w:r>
          </w:p>
        </w:tc>
        <w:tc>
          <w:tcPr>
            <w:tcW w:type="dxa" w:w="21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5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p19-selective single molecule with long-acting SC engineering (avoids IV burden, p40 redundancy)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Strong if executed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5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Already tracks OSM/FC — can own the anti-TL1A escape population a CDx-monospecific leaves behind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Differentiated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Geography / economics</w:t>
            </w:r>
          </w:p>
        </w:tc>
        <w:tc>
          <w:tcPr>
            <w:tcW w:type="dxa" w:w="5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Shanghai-based: China cost, speed, and capital inside the dominant bispecific hub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Real edge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5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p19-bispecific clinic still nearly empty — first-mover window genuinely open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</w:rPr>
              <w:t xml:space="preserve">Time-limited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5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— behind MT-251 (Ph1) and a funded p40 pathfinder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Weakness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Proof</w:t>
            </w:r>
          </w:p>
        </w:tc>
        <w:tc>
          <w:tcPr>
            <w:tcW w:type="dxa" w:w="5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No differentiation data yet; the additive-efficacy thesis is unproven for everyone</w:t>
            </w:r>
          </w:p>
        </w:tc>
        <w:tc>
          <w:tcPr>
            <w:tcW w:type="dxa" w:w="2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Unproven</w:t>
            </w:r>
          </w:p>
        </w:tc>
      </w:tr>
    </w:tbl>
    <w:p>
      <w:pPr>
        <w:spacing w:after="120"/>
      </w:pPr>
      <w:r>
        <w:rPr>
          <w:b/>
          <w:bCs/>
          <w:color w:val="B45309"/>
        </w:rPr>
        <w:t xml:space="preserve">Verdict [J]: </w:t>
      </w:r>
      <w:r>
        <w:t xml:space="preserve">ALX001 deserves to exist if — and only if — it converts its format, biomarker and geography edges into the clinic before the window closes. It does not deserve to exist as a me-too third or fourth p19 bispecific arriving after the additive-efficacy question is already answered. The strategy is therefore entirely about </w:t>
      </w:r>
      <w:r>
        <w:rPr>
          <w:b/>
          <w:bCs/>
        </w:rPr>
        <w:t xml:space="preserve">differentiated speed.</w:t>
      </w:r>
      <w:r>
        <w:t xml:space="preserve"> If that cannot be achieved, the rational move is to in-license or partner rather than build.</w:t>
      </w:r>
    </w:p>
    <w:p>
      <w:pPr>
        <w:pStyle w:val="Heading1"/>
      </w:pPr>
      <w:r>
        <w:t xml:space="preserve">1 · The patient &amp; disease foundation (why value exists here)</w:t>
      </w:r>
    </w:p>
    <w:p>
      <w:pPr>
        <w:spacing w:after="120"/>
      </w:pPr>
      <w:r>
        <w:t xml:space="preserve">Meridian's North Star: value derives upward from unmet patient need. The TL1A×IL-23 opportunity rests on a specific, quantified clinical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300"/>
        <w:gridCol w:w="1500"/>
        <w:gridCol w:w="2960"/>
      </w:tblGrid>
      <w:tr>
        <w:trPr>
          <w:tblHeader/>
        </w:trPr>
        <w:tc>
          <w:tcPr>
            <w:tcW w:type="dxa" w:w="2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Indication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 pts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SoC remission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gap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Ulcerative colitis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900K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~15-20% endoscopic; 150-200K face colectomy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Crohn's disease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780K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fistulizing CD (~30%) largely untreated; transmural healing &lt;10%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IBD total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1.68M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$15B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~22%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40-50% fail/lose response in 5 yrs; deep remission 15-20%</w:t>
            </w:r>
          </w:p>
        </w:tc>
      </w:tr>
    </w:tbl>
    <w:p>
      <w:pPr>
        <w:spacing w:after="120"/>
      </w:pPr>
      <w:r>
        <w:rPr>
          <w:b/>
          <w:bCs/>
        </w:rPr>
        <w:t xml:space="preserve">Read it as a clinician would: </w:t>
      </w:r>
      <w:r>
        <w:t xml:space="preserve">biologics transformed IBD, but the field has hit a </w:t>
      </w:r>
      <w:r>
        <w:rPr>
          <w:b/>
          <w:bCs/>
        </w:rPr>
        <w:t xml:space="preserve">remission ceiling</w:t>
      </w:r>
      <w:r>
        <w:t xml:space="preserve">. The best current agents put only ~15-20% of patients into deep remission; 40-50% fail or lose response within five years; and after exhausting anti-TNF, vedolizumab, ustekinumab and JAK inhibitors, ~150-200K US ulcerative-colitis patients face colectomy. </w:t>
      </w:r>
      <w:r>
        <w:rPr>
          <w:b/>
          <w:bCs/>
        </w:rPr>
        <w:t xml:space="preserve">The unmet need is not 'more options' — it is depth and durability of remission.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</w:p>
    <w:p>
      <w:pPr>
        <w:spacing w:after="120"/>
      </w:pPr>
      <w:r>
        <w:rPr>
          <w:b/>
          <w:bCs/>
        </w:rPr>
        <w:t xml:space="preserve">Why this is the right place to deploy a bispecific: </w:t>
      </w:r>
      <w:r>
        <w:t xml:space="preserve">the patients who fail are failing because single pathways leave escape routes open (next section). A mechanism that closes those routes is exactly what the ceiling demands — and Meridian's own benchmark encodes the prize: </w:t>
      </w:r>
      <w:r>
        <w:rPr>
          <w:b/>
          <w:bCs/>
        </w:rPr>
        <w:t xml:space="preserve">a credible path from a 15-20% to a 30-40% deep-remission rate.</w:t>
      </w:r>
      <w:r>
        <w:rPr>
          <w:rStyle w:val="FootnoteReference"/>
        </w:rPr>
        <w:footnoteReference w:id="3"/>
      </w:r>
    </w:p>
    <w:p>
      <w:pPr>
        <w:pStyle w:val="Heading1"/>
      </w:pPr>
      <w:r>
        <w:t xml:space="preserve">2 · The scientific thesis — reasoning from mechanism to conclusion</w:t>
      </w:r>
    </w:p>
    <w:p>
      <w:pPr>
        <w:spacing w:after="120"/>
      </w:pPr>
      <w:r>
        <w:t xml:space="preserve">This section builds the argument step by step, because the investment case is a scientific case.</w:t>
      </w:r>
    </w:p>
    <w:p>
      <w:pPr>
        <w:pStyle w:val="Heading2"/>
      </w:pPr>
      <w:r>
        <w:t xml:space="preserve">Step 1 — Target engagement is necessary but not sufficient</w:t>
      </w:r>
    </w:p>
    <w:p>
      <w:pPr>
        <w:spacing w:after="120"/>
      </w:pPr>
      <w:r>
        <w:t xml:space="preserve">Anti-TL1A antibodies achieve near-complete target engagement: tulisokibart suppresses free soluble TL1A by </w:t>
      </w:r>
      <w:r>
        <w:rPr>
          <w:b/>
          <w:bCs/>
        </w:rPr>
        <w:t xml:space="preserve">~90%</w:t>
      </w:r>
      <w:r>
        <w:t xml:space="preserve">, afimkibart by </w:t>
      </w:r>
      <w:r>
        <w:rPr>
          <w:b/>
          <w:bCs/>
        </w:rPr>
        <w:t xml:space="preserve">~92%</w:t>
      </w:r>
      <w:r>
        <w:t xml:space="preserve">. Yet clinical remission lands at only </w:t>
      </w:r>
      <w:r>
        <w:rPr>
          <w:b/>
          <w:bCs/>
        </w:rPr>
        <w:t xml:space="preserve">~26-28%</w:t>
      </w:r>
      <w:r>
        <w:t xml:space="preserve">. Engagement is essentially maximal; efficacy is not. The drug is doing its molecular job — and the disease continues.</w:t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7"/>
      </w:r>
    </w:p>
    <w:p>
      <w:pPr>
        <w:pStyle w:val="Heading2"/>
      </w:pPr>
      <w:r>
        <w:t xml:space="preserve">Step 2 — Why the gap exists (the escape pathway)</w:t>
      </w:r>
    </w:p>
    <w:p>
      <w:pPr>
        <w:spacing w:after="120"/>
      </w:pPr>
      <w:r>
        <w:t xml:space="preserve">Meridian's pharmacodynamic analysis attributes the disconnect to </w:t>
      </w:r>
      <w:r>
        <w:rPr>
          <w:b/>
          <w:bCs/>
        </w:rPr>
        <w:t xml:space="preserve">IL-23-independent Th17 activation and epithelial-restitution failure</w:t>
      </w:r>
      <w:r>
        <w:t xml:space="preserve"> that TL1A blockade does not touch. Independently, the non-responder biology agrees: ~72% of anti-TL1A non-responders escape through Th17 routes; ~55% of anti-IL-23 non-responders escape through Th1/IL-12-independent IFN-γ. </w:t>
      </w:r>
      <w:r>
        <w:rPr>
          <w:b/>
          <w:bCs/>
        </w:rPr>
        <w:t xml:space="preserve">The two escape maps barely overlap</w:t>
      </w:r>
      <w:r>
        <w:t xml:space="preserve"> — which is the mechanistic definition of a combination opportunity.</w:t>
      </w:r>
      <w:r>
        <w:rPr>
          <w:rStyle w:val="FootnoteReference"/>
        </w:rPr>
        <w:footnoteReference w:id="4"/>
      </w:r>
      <w:r>
        <w:rPr>
          <w:rStyle w:val="FootnoteReference"/>
        </w:rPr>
        <w:footnoteReference w:id="14"/>
      </w:r>
    </w:p>
    <w:p>
      <w:pPr>
        <w:pStyle w:val="Heading2"/>
      </w:pPr>
      <w:r>
        <w:t xml:space="preserve">Step 3 — Why IL-23p19 is the correct second arm</w:t>
      </w:r>
    </w:p>
    <w:p>
      <w:pPr>
        <w:spacing w:after="120"/>
      </w:pPr>
      <w:r>
        <w:t xml:space="preserve">IL-23p19 blockade addresses Th17 persistence and maintenance biology — the exact route TL1A leaves open — while TL1A covers the inflammation and fibro-stromal remodeling that IL-23 agents miss. Selecting </w:t>
      </w:r>
      <w:r>
        <w:rPr>
          <w:b/>
          <w:bCs/>
        </w:rPr>
        <w:t xml:space="preserve">p19 (not p40)</w:t>
      </w:r>
      <w:r>
        <w:t xml:space="preserve"> preserves IL-12/Th1 immunity and matches the validated risankizumab/mirikizumab class, avoiding the redundancy and safety baggage of p40.</w:t>
      </w:r>
      <w:r>
        <w:rPr>
          <w:rStyle w:val="FootnoteReference"/>
        </w:rPr>
        <w:footnoteReference w:id="5"/>
      </w:r>
    </w:p>
    <w:p>
      <w:pPr>
        <w:pStyle w:val="Heading2"/>
      </w:pPr>
      <w:r>
        <w:t xml:space="preserve">Step 4 — The testable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Synthesis. </w:t>
            </w:r>
            <w:r>
              <w:t xml:space="preserve">If the target-engagement-to-remission gap is caused by a non-overlapping IL-23-dependent escape pathway, then closing both pathways with one molecule should convert engagement into remission — the basis for the 30-40% deep-remission hypothesis. </w:t>
            </w:r>
            <w:r>
              <w:rPr>
                <w:b/>
                <w:bCs/>
              </w:rPr>
              <w:t xml:space="preserve">This is falsifiable</w:t>
            </w:r>
            <w:r>
              <w:t xml:space="preserve">: if dual blockade does not beat the best monospecific (RO7837195 and MT-251 are the first reads), the thesis fails. That is the single most important experiment in this area, and it has not yet reported.</w:t>
            </w:r>
          </w:p>
        </w:tc>
      </w:tr>
    </w:tbl>
    <w:p>
      <w:pPr>
        <w:pStyle w:val="Heading1"/>
      </w:pPr>
      <w:r>
        <w:t xml:space="preserve">3 · Competitive field &amp; head-to-head data</w:t>
      </w:r>
    </w:p>
    <w:p>
      <w:pPr>
        <w:spacing w:after="120"/>
      </w:pPr>
      <w:r>
        <w:t xml:space="preserve">Stages reflect the 2026-06-07 accuracy audit (several DB bispecific stages were inflated; corrected). Owner = originator.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1100"/>
        <w:gridCol w:w="1450"/>
        <w:gridCol w:w="2410"/>
        <w:gridCol w:w="1200"/>
      </w:tblGrid>
      <w:tr>
        <w:trPr>
          <w:tblHeader/>
        </w:trPr>
        <w:tc>
          <w:tcPr>
            <w:tcW w:type="dxa" w:w="17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Originator</w:t>
            </w:r>
          </w:p>
        </w:tc>
        <w:tc>
          <w:tcPr>
            <w:tcW w:type="dxa" w:w="11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4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target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Prometheus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(+CDx)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7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Roche/Telavant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8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Teva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0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FutureGen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2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Pfizer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bispecific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1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bispecific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11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 / ALX001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 / Ailux</w:t>
            </w:r>
          </w:p>
        </w:tc>
        <w:tc>
          <w:tcPr>
            <w:tcW w:type="dxa" w:w="11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24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bispecific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9"/>
            </w:r>
          </w:p>
        </w:tc>
      </w:tr>
    </w:tbl>
    <w:p>
      <w:pPr>
        <w:pStyle w:val="Heading2"/>
      </w:pPr>
      <w:r>
        <w:t xml:space="preserve">Efficacy (Phase 2, conference-reported)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00"/>
        <w:gridCol w:w="1450"/>
        <w:gridCol w:w="1350"/>
        <w:gridCol w:w="1650"/>
        <w:gridCol w:w="1860"/>
      </w:tblGrid>
      <w:tr>
        <w:trPr>
          <w:tblHeader/>
        </w:trPr>
        <w:tc>
          <w:tcPr>
            <w:tcW w:type="dxa" w:w="17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Indication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Remission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Placebo</w:t>
            </w:r>
          </w:p>
        </w:tc>
        <w:tc>
          <w:tcPr>
            <w:tcW w:type="dxa" w:w="16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Endpoint/Wk</w:t>
            </w:r>
          </w:p>
        </w:tc>
        <w:tc>
          <w:tcPr>
            <w:tcW w:type="dxa" w:w="18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UC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13%</w:t>
            </w:r>
          </w:p>
        </w:tc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MMCS / Wk12</w:t>
            </w:r>
          </w:p>
        </w:tc>
        <w:tc>
          <w:tcPr>
            <w:tcW w:type="dxa" w:w="18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ECCO'25 OP41</w:t>
            </w: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43%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HBI / Wk12</w:t>
            </w:r>
          </w:p>
        </w:tc>
        <w:tc>
          <w:tcPr>
            <w:tcW w:type="dxa" w:w="18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DDW'24</w:t>
            </w:r>
            <w:r>
              <w:rPr>
                <w:rStyle w:val="FootnoteReference"/>
              </w:rPr>
              <w:footnoteReference w:id="6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UC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28%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8%</w:t>
            </w:r>
          </w:p>
        </w:tc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MMS=0 / Wk12</w:t>
            </w:r>
          </w:p>
        </w:tc>
        <w:tc>
          <w:tcPr>
            <w:tcW w:type="dxa" w:w="18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t xml:space="preserve">ECCO'24</w:t>
            </w:r>
            <w:r>
              <w:rPr>
                <w:rStyle w:val="FootnoteReference"/>
              </w:rPr>
              <w:footnoteReference w:id="7"/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afimkibart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UC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miss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TUSCANY-2 Ph2</w:t>
            </w:r>
          </w:p>
        </w:tc>
        <w:tc>
          <w:tcPr>
            <w:tcW w:type="dxa" w:w="18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Style w:val="FootnoteReference"/>
              </w:rPr>
              <w:footnoteReference w:id="8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Read the numbers correctly — these are not head-to-head. </w:t>
            </w:r>
            <w:r>
              <w:t xml:space="preserve">The honest comparison is placebo-adjusted: duvakitug +24pp (37% vs 13%), tulisokibart +20pp (28% vs 8%). The headline 9-point gap shrinks to ~4 points once placebo is removed — and the trials differ in endpoint (MMCS vs MMS=0), population (bio-naive vs bio-exposed mix), and size. Treat single-arm remission rates as directional, not decisive.</w:t>
            </w:r>
            <w:r>
              <w:rPr>
                <w:rStyle w:val="FootnoteReference"/>
              </w:rPr>
              <w:footnoteReference w:id="18"/>
            </w:r>
          </w:p>
        </w:tc>
      </w:tr>
    </w:tbl>
    <w:p>
      <w:pPr>
        <w:pStyle w:val="Heading2"/>
      </w:pPr>
      <w:r>
        <w:t xml:space="preserve">Pharmacokinetics &amp; format (the dosing-convenience frontier)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00"/>
        <w:gridCol w:w="1500"/>
        <w:gridCol w:w="316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31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</w:t>
            </w:r>
          </w:p>
        </w:tc>
        <w:tc>
          <w:tcPr>
            <w:tcW w:type="dxa" w:w="3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Format bar: supports Q12W+ SC dosing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</w:t>
            </w:r>
          </w:p>
        </w:tc>
        <w:tc>
          <w:tcPr>
            <w:tcW w:type="dxa" w:w="3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HLE, infrequent SC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</w:t>
            </w:r>
          </w:p>
        </w:tc>
        <w:tc>
          <w:tcPr>
            <w:tcW w:type="dxa" w:w="3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= payer/convenience disadvantage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</w:t>
            </w:r>
          </w:p>
        </w:tc>
        <w:tc>
          <w:tcPr>
            <w:tcW w:type="dxa" w:w="3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in-human bispecific PK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</w:t>
            </w:r>
          </w:p>
        </w:tc>
        <w:tc>
          <w:tcPr>
            <w:tcW w:type="dxa" w:w="31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Shortest; IV</w:t>
            </w:r>
          </w:p>
        </w:tc>
      </w:tr>
    </w:tbl>
    <w:p>
      <w:pPr>
        <w:spacing w:after="120"/>
      </w:pPr>
      <w:r>
        <w:rPr>
          <w:b/>
          <w:bCs/>
        </w:rPr>
        <w:t xml:space="preserve">Conclusion the data force: </w:t>
      </w:r>
      <w:r>
        <w:t xml:space="preserve">duvakitug owns the efficacy lead (37%/43%), tulisokibart owns the stage lead despite a lower remission rate and an IV burden, and the frontier is moving to </w:t>
      </w:r>
      <w:r>
        <w:rPr>
          <w:b/>
          <w:bCs/>
        </w:rPr>
        <w:t xml:space="preserve">long-acting SC</w:t>
      </w:r>
      <w:r>
        <w:t xml:space="preserve">. ALX001's design must clear both bars at once: additive efficacy AND XmAb942-class half-life with subcutaneous delivery.</w:t>
      </w:r>
      <w:r>
        <w:rPr>
          <w:rStyle w:val="FootnoteReference"/>
        </w:rPr>
        <w:footnoteReference w:id="9"/>
      </w:r>
    </w:p>
    <w:p>
      <w:pPr>
        <w:pStyle w:val="Heading2"/>
      </w:pPr>
      <w:r>
        <w:t xml:space="preserve">What must be true for each competitor — wins if / fails if</w:t>
      </w:r>
    </w:p>
    <w:p>
      <w:pPr>
        <w:spacing w:after="120"/>
      </w:pPr>
      <w:r>
        <w:t xml:space="preserve">Symmetric analysis (the same lens applied to ALX001 is applied to rivals, to remove home-team bias):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5"/>
        <w:gridCol w:w="3755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375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Wins if</w:t>
            </w:r>
          </w:p>
        </w:tc>
        <w:tc>
          <w:tcPr>
            <w:tcW w:type="dxa" w:w="375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Fails if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ATLAS-UC confirms Ph2; CDx enriches responders; safety stays clean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plateaus ~25-30%; CDx narrows the market; a bispecific shows superior durability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 replicates the 37%/43% Ph2; Sanofi commercial muscle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Ph2-to-Ph3 shrinkage (the class risk); arrives third behind Merck/Roche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afimkibart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AMETRINE/later studies overwrite the TUSCANY-2 miss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TUSCANY-2 narrative sticks; Roche deprioritizes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p40 bispecific shows additive efficacy — validates the format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p40 redundancy/safety drags; no additive signal over monospecifics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p19 bispecific shows clean Ph1 + additive PD</w:t>
            </w:r>
          </w:p>
        </w:tc>
        <w:tc>
          <w:tcPr>
            <w:tcW w:type="dxa" w:w="375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FcRn-engineering immunogenicity; single-asset financing risk</w:t>
            </w:r>
          </w:p>
        </w:tc>
      </w:tr>
    </w:tbl>
    <w:p>
      <w:pPr>
        <w:pStyle w:val="Heading1"/>
      </w:pPr>
      <w:r>
        <w:t xml:space="preserve">4 · Molecular design, manufacturing &amp; biomarkers (for the CSO)</w:t>
      </w:r>
    </w:p>
    <w:p>
      <w:pPr>
        <w:spacing w:after="120"/>
      </w:pPr>
      <w:r>
        <w:t xml:space="preserve">At the protein-engineering level, three design axes separate winners from also-rans in this class: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Half-life engineering. </w:t>
      </w:r>
      <w:r>
        <w:t xml:space="preserve">XmAb942 (~74 d) shows Fc/FcRn optimization can roughly triple a native antibody's half-life. MT-251 (Mirador) is explicitly built on pH-sensitive antigen binding + FcRn recycling for quarterly-plus dosing. A bispecific that does not match this will lose on convenience even if efficacy ties.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Format &amp; valency. </w:t>
      </w:r>
      <w:r>
        <w:t xml:space="preserve">Approaches range from IgG-like dual-targeting antibodies to single-domain (VHH) constructs (e.g., LQ080's extended-half-life sdAb) to fixed-dose combinations (Spyre's SPY230 = two separate mAbs). Single-molecule bispecifics win on CMC simplicity and payer story; combinations win on speed but carry two-asset cost and complexity.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Arm selection (p19 vs p40). </w:t>
      </w:r>
      <w:r>
        <w:t xml:space="preserve">p19 selectivity preserves IL-12/Th1 immunity and inherits the risankizumab safety/efficacy precedent; p40 (RO7837195) blocks IL-12 too — broader, but with the redundancy and historical safety questions of the ustekinumab 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ALX001 design scorecard (what 'best-in-class' requires here): </w:t>
            </w:r>
            <w:r>
              <w:t xml:space="preserve">(1) p19-selective; (2) Fc-engineered for ~Q12W SC; (3) balanced potency on both arms to deliver additive — not merely additive-on-paper — efficacy; (4) a manufacturable single-molecule format. The competitive set shows each trait exists separately; none has yet combined all four with clinical proof.</w:t>
            </w:r>
          </w:p>
        </w:tc>
      </w:tr>
    </w:tbl>
    <w:p>
      <w:pPr>
        <w:pStyle w:val="Heading2"/>
      </w:pPr>
      <w:r>
        <w:t xml:space="preserve">The manufacturing tax (CMC)</w:t>
      </w:r>
    </w:p>
    <w:p>
      <w:pPr>
        <w:spacing w:after="120"/>
      </w:pPr>
      <w:r>
        <w:t xml:space="preserve">Single-molecule bispecifics carry </w:t>
      </w:r>
      <w:r>
        <w:rPr>
          <w:b/>
          <w:bCs/>
        </w:rPr>
        <w:t xml:space="preserve">very-high CMC complexity</w:t>
      </w:r>
      <w:r>
        <w:t xml:space="preserve"> — chain mispairing, aggregation, lower yields, and harder comparability — versus high for a monospecific mAb. This is a real cost and timeline burden, and it is also a </w:t>
      </w:r>
      <w:r>
        <w:rPr>
          <w:b/>
          <w:bCs/>
        </w:rPr>
        <w:t xml:space="preserve">barrier to entry</w:t>
      </w:r>
      <w:r>
        <w:t xml:space="preserve">: it is part of why the bispecific clinic is thin despite obvious interest. A combination (e.g., SPY230's two mAbs) sidesteps the engineering risk but doubles cost of goods and complicates the payer story.</w:t>
      </w:r>
      <w:r>
        <w:rPr>
          <w:rStyle w:val="FootnoteReference"/>
        </w:rPr>
        <w:footnoteReference w:id="19"/>
      </w:r>
    </w:p>
    <w:p>
      <w:pPr>
        <w:pStyle w:val="Heading2"/>
      </w:pPr>
      <w:r>
        <w:t xml:space="preserve">Biomarker &amp; precision-medicine strategy</w:t>
      </w:r>
    </w:p>
    <w:p>
      <w:pPr>
        <w:spacing w:after="120"/>
      </w:pPr>
      <w:r>
        <w:t xml:space="preserve">Three biomarker tiers operate in this area: </w:t>
      </w:r>
      <w:r>
        <w:rPr>
          <w:b/>
          <w:bCs/>
        </w:rPr>
        <w:t xml:space="preserve">predictive/companion-diagnostic</w:t>
      </w:r>
      <w:r>
        <w:t xml:space="preserve"> (HLA-DQA1*05; the TL1A genetic-response signature pioneered by tulisokibart's program); </w:t>
      </w:r>
      <w:r>
        <w:rPr>
          <w:b/>
          <w:bCs/>
        </w:rPr>
        <w:t xml:space="preserve">non-responder / escape</w:t>
      </w:r>
      <w:r>
        <w:t xml:space="preserve"> (OSM / the OSM-OSMR axis); and </w:t>
      </w:r>
      <w:r>
        <w:rPr>
          <w:b/>
          <w:bCs/>
        </w:rPr>
        <w:t xml:space="preserve">PD-monitoring</w:t>
      </w:r>
      <w:r>
        <w:t xml:space="preserve"> (soluble TL1A, fecal calprotectin, CRP).</w:t>
      </w:r>
      <w:r>
        <w:rPr>
          <w:rStyle w:val="FootnoteReference"/>
        </w:rPr>
        <w:footnoteReference w:id="20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The sharpest strategic insight in this brief. </w:t>
            </w:r>
            <w:r>
              <w:t xml:space="preserve">OSM is the escape-pathway marker that flags the patients who FAIL anti-TL1A monotherapy — and it is exactly the population dual blockade should rescue. Meridian's data show </w:t>
            </w:r>
            <w:r>
              <w:rPr>
                <w:b/>
                <w:bCs/>
              </w:rPr>
              <w:t xml:space="preserve">ALX001's anti-TL1A arm already tracks OSM and fecal calprotectin.</w:t>
            </w:r>
            <w:r>
              <w:t xml:space="preserve"> If tulisokibart wins the CDx-positive responder segment, ALX001 can position deliberately for the OSM-high / CDx-negative escape population — turning a competitor's precision strategy into ALX001's addressable beachhead.</w:t>
            </w:r>
          </w:p>
        </w:tc>
      </w:tr>
    </w:tbl>
    <w:p>
      <w:pPr>
        <w:pStyle w:val="Heading1"/>
      </w:pPr>
      <w:r>
        <w:t xml:space="preserve">5 · Regulatory, safety &amp; immunogenicity</w:t>
      </w:r>
    </w:p>
    <w:p>
      <w:pPr>
        <w:spacing w:after="120"/>
      </w:pPr>
      <w:r>
        <w:rPr>
          <w:b/>
          <w:bCs/>
        </w:rPr>
        <w:t xml:space="preserve">A pioneer arm and an established arm. </w:t>
      </w:r>
      <w:r>
        <w:t xml:space="preserve">Anti-IL-23p19 is fully precedented — three approvals since 2017, and risankizumab's PsO→PsA→CD→UC trajectory is the canonical multi-indication playbook, so the dermatology-to-IBD path is mapped. Anti-TL1A is a </w:t>
      </w:r>
      <w:r>
        <w:rPr>
          <w:b/>
          <w:bCs/>
        </w:rPr>
        <w:t xml:space="preserve">pioneer mechanism with zero approvals</w:t>
      </w:r>
      <w:r>
        <w:t xml:space="preserve">; crucially, the IBD endpoints themselves are precedented (modified Mayo, SES-CD, the emerging deep-remission composite), so the regulatory risk is not endpoint acceptance — it is </w:t>
      </w:r>
      <w:r>
        <w:rPr>
          <w:b/>
          <w:bCs/>
        </w:rPr>
        <w:t xml:space="preserve">demonstrating superiority/non-inferiority against an increasingly good standard of care.</w:t>
      </w:r>
      <w:r>
        <w:rPr>
          <w:rStyle w:val="FootnoteReference"/>
        </w:rPr>
        <w:footnoteReference w:id="5"/>
      </w:r>
    </w:p>
    <w:p>
      <w:pPr>
        <w:spacing w:after="120"/>
      </w:pPr>
      <w:r>
        <w:rPr>
          <w:b/>
          <w:bCs/>
        </w:rPr>
        <w:t xml:space="preserve">Implication for ALX001: </w:t>
      </w:r>
      <w:r>
        <w:t xml:space="preserve">the bispecific inherits a de-risked endpoint framework and half its mechanism's regulatory precedent. The bar it must clear is clinical, not regulatory — additive efficacy on accepted endpoints.</w:t>
      </w:r>
    </w:p>
    <w:p>
      <w:pPr>
        <w:pStyle w:val="Heading2"/>
      </w:pPr>
      <w:r>
        <w:t xml:space="preserve">Safety &amp; immunogenicity — the other half of the bet</w:t>
      </w:r>
    </w:p>
    <w:p>
      <w:pPr>
        <w:spacing w:after="120"/>
      </w:pPr>
      <w:r>
        <w:t xml:space="preserve">Efficacy is only half the case; for dual immunosuppression, safety is the other half. The encouraging backdrop: the </w:t>
      </w:r>
      <w:r>
        <w:rPr>
          <w:b/>
          <w:bCs/>
        </w:rPr>
        <w:t xml:space="preserve">anti-IL-23p19 class has a notably clean infection and malignancy profile</w:t>
      </w:r>
      <w:r>
        <w:t xml:space="preserve"> (risankizumab), so the IL-23 arm adds efficacy without the safety cost that anti-TNF carries. Anti-TL1A has shown no class-halting safety signal to date — Merck has presented </w:t>
      </w:r>
      <w:r>
        <w:rPr>
          <w:b/>
          <w:bCs/>
        </w:rPr>
        <w:t xml:space="preserve">50-week infection-AE data for tulisokibart</w:t>
      </w:r>
      <w:r>
        <w:t xml:space="preserve"> (ECCO 2025 P0749, DDW 2025 Tu1933) consistent with the class.</w:t>
      </w:r>
      <w:r>
        <w:rPr>
          <w:rStyle w:val="FootnoteReference"/>
        </w:rPr>
        <w:footnoteReference w:id="21"/>
      </w:r>
    </w:p>
    <w:p>
      <w:pPr>
        <w:spacing w:after="120"/>
      </w:pPr>
      <w:r>
        <w:rPr>
          <w:b/>
          <w:bCs/>
        </w:rPr>
        <w:t xml:space="preserve">The open question for a bispecific: </w:t>
      </w:r>
      <w:r>
        <w:t xml:space="preserve">does simultaneous TL1A + IL-23 blockade raise infection risk beyond either pathway alone? Mechanistically it need not — the two pathways are partly non-overlapping and IL-23 blockade is well-tolerated — but it is </w:t>
      </w:r>
      <w:r>
        <w:rPr>
          <w:b/>
          <w:bCs/>
        </w:rPr>
        <w:t xml:space="preserve">unproven either way</w:t>
      </w:r>
      <w:r>
        <w:t xml:space="preserve">, and it is the safety endpoint a partner's diligence will scrutinize first. </w:t>
      </w:r>
      <w:r>
        <w:rPr>
          <w:i/>
          <w:iCs/>
          <w:color w:val="B45309"/>
        </w:rPr>
        <w:t xml:space="preserve">Confidence: the favorable IL-23 backdrop is HIGH; the additive-safety question is LOW until bispecific data read out.</w:t>
      </w:r>
    </w:p>
    <w:p>
      <w:pPr>
        <w:pStyle w:val="Heading1"/>
      </w:pPr>
      <w:r>
        <w:t xml:space="preserve">6 · Conference intelligence (ECCO / DDW)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Duvakitug — ECCO 2025 oral OP41: </w:t>
      </w:r>
      <w:r>
        <w:t xml:space="preserve">37% vs 13% UC remission — the strongest TL1A Ph2 signal and the reason Sanofi advanced.</w:t>
      </w:r>
      <w:r>
        <w:rPr>
          <w:rStyle w:val="FootnoteReference"/>
        </w:rPr>
        <w:footnoteReference w:id="6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Tulisokibart — ECCO/DDW 2024-26 (P0580, Tu1933, P0837): </w:t>
      </w:r>
      <w:r>
        <w:t xml:space="preserve">re-induction, 50-week durability, infection-AE safety — Merck building the long-term dossier a bispecific must out-position.</w:t>
      </w:r>
      <w:r>
        <w:rPr>
          <w:rStyle w:val="FootnoteReference"/>
        </w:rPr>
        <w:footnoteReference w:id="7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XmAb942 — DDW 2026 Mo1538 / ECCO 2026 P0984: </w:t>
      </w:r>
      <w:r>
        <w:t xml:space="preserve">'potential best-in-class long-acting anti-TL1A' — the half-life benchmark.</w:t>
      </w:r>
      <w:r>
        <w:rPr>
          <w:rStyle w:val="FootnoteReference"/>
        </w:rPr>
        <w:footnoteReference w:id="9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RO7837195 — ECCO 2026: </w:t>
      </w:r>
      <w:r>
        <w:t xml:space="preserve">first clinical data for a TL1A×IL-23 bispecific — the format is now clinically feasible.</w:t>
      </w:r>
      <w:r>
        <w:rPr>
          <w:rStyle w:val="FootnoteReference"/>
        </w:rPr>
        <w:footnoteReference w:id="11"/>
      </w:r>
    </w:p>
    <w:p>
      <w:pPr>
        <w:pStyle w:val="Heading1"/>
      </w:pPr>
      <w:r>
        <w:t xml:space="preserve">7 · Probability-weighted catalysts</w:t>
      </w:r>
    </w:p>
    <w:p>
      <w:pPr>
        <w:spacing w:after="120"/>
      </w:pPr>
      <w:r>
        <w:t xml:space="preserve">Probabilities are Meridian's standing predictions</w:t>
      </w:r>
      <w:r>
        <w:rPr>
          <w:rStyle w:val="FootnoteReference"/>
        </w:rPr>
        <w:footnoteReference w:id="15"/>
      </w:r>
      <w:r>
        <w:t xml:space="preserve">; scored as each resolves.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450"/>
        <w:gridCol w:w="1550"/>
        <w:gridCol w:w="2910"/>
      </w:tblGrid>
      <w:tr>
        <w:trPr>
          <w:tblHeader/>
        </w:trPr>
        <w:tc>
          <w:tcPr>
            <w:tcW w:type="dxa" w:w="3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P(positive)</w:t>
            </w:r>
          </w:p>
        </w:tc>
        <w:tc>
          <w:tcPr>
            <w:tcW w:type="dxa" w:w="29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Strategic impact</w:t>
            </w:r>
          </w:p>
        </w:tc>
      </w:tr>
      <w:tr>
        <w:trPr>
          <w:tblHeader w:val="false"/>
        </w:trPr>
        <w:tc>
          <w:tcPr>
            <w:tcW w:type="dxa" w:w="3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~Jun 30'26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60%</w:t>
            </w:r>
          </w:p>
        </w:tc>
        <w:tc>
          <w:tcPr>
            <w:tcW w:type="dxa" w:w="2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Medium-High — resets monospecific bar</w:t>
            </w:r>
          </w:p>
        </w:tc>
      </w:tr>
      <w:tr>
        <w:trPr>
          <w:tblHeader w:val="false"/>
        </w:trPr>
        <w:tc>
          <w:tcPr>
            <w:tcW w:type="dxa" w:w="3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~Q4'26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70%</w:t>
            </w:r>
          </w:p>
        </w:tc>
        <w:tc>
          <w:tcPr>
            <w:tcW w:type="dxa" w:w="2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Very High</w:t>
            </w:r>
            <w:r>
              <w:t xml:space="preserve"> — sets the bar to beat</w:t>
            </w:r>
          </w:p>
        </w:tc>
      </w:tr>
      <w:tr>
        <w:trPr>
          <w:tblHeader w:val="false"/>
        </w:trPr>
        <w:tc>
          <w:tcPr>
            <w:tcW w:type="dxa" w:w="3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'26-'27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first data</w:t>
            </w:r>
          </w:p>
        </w:tc>
        <w:tc>
          <w:tcPr>
            <w:tcW w:type="dxa" w:w="2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Very High</w:t>
            </w:r>
            <w:r>
              <w:t xml:space="preserve"> — tests additive-efficacy thesis</w:t>
            </w:r>
          </w:p>
        </w:tc>
      </w:tr>
      <w:tr>
        <w:trPr>
          <w:tblHeader w:val="false"/>
        </w:trPr>
        <w:tc>
          <w:tcPr>
            <w:tcW w:type="dxa" w:w="3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~Oct'26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75%</w:t>
            </w:r>
          </w:p>
        </w:tc>
        <w:tc>
          <w:tcPr>
            <w:tcW w:type="dxa" w:w="29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— gates AbbVie BD</w:t>
            </w:r>
          </w:p>
        </w:tc>
      </w:tr>
    </w:tbl>
    <w:p>
      <w:pPr>
        <w:pStyle w:val="Heading2"/>
      </w:pPr>
      <w:r>
        <w:t xml:space="preserve">Forecast decomposition — why these numbers (auditable)</w:t>
      </w:r>
    </w:p>
    <w:p>
      <w:pPr>
        <w:spacing w:after="120"/>
      </w:pPr>
      <w:r>
        <w:t xml:space="preserve">A probability without its drivers is an opinion. Here is how the headline numbers are built [P]: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1400"/>
        <w:gridCol w:w="4310"/>
      </w:tblGrid>
      <w:tr>
        <w:trPr>
          <w:tblHeader/>
        </w:trPr>
        <w:tc>
          <w:tcPr>
            <w:tcW w:type="dxa" w:w="36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ATLAS-UC meets primary (base 50%)</w:t>
            </w:r>
          </w:p>
        </w:tc>
        <w:tc>
          <w:tcPr>
            <w:tcW w:type="dxa" w:w="1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→ 70%</w:t>
            </w:r>
          </w:p>
        </w:tc>
        <w:tc>
          <w:tcPr>
            <w:tcW w:type="dxa" w:w="43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Drivers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Positive ARTEMIS/TUSCANY Ph2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+20</w:t>
            </w:r>
          </w:p>
        </w:tc>
        <w:tc>
          <w:tcPr>
            <w:tcW w:type="dxa" w:w="4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mechanism + dose already shown in UC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Ph3 execution + CDx enrichment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+15</w:t>
            </w:r>
          </w:p>
        </w:tc>
        <w:tc>
          <w:tcPr>
            <w:tcW w:type="dxa" w:w="4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sponsor quality, responder selection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Ph2→Ph3 effect-size dilution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−10</w:t>
            </w:r>
          </w:p>
        </w:tc>
        <w:tc>
          <w:tcPr>
            <w:tcW w:type="dxa" w:w="4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 risk (cf. TUSCANY-2 miss)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CDx operational complexity (n~1,020)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−5</w:t>
            </w:r>
          </w:p>
        </w:tc>
        <w:tc>
          <w:tcPr>
            <w:tcW w:type="dxa" w:w="4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stratified enrollment risk</w:t>
            </w:r>
          </w:p>
        </w:tc>
      </w:tr>
      <w:tr>
        <w:trPr>
          <w:tblHeader w:val="false"/>
        </w:trPr>
        <w:tc>
          <w:tcPr>
            <w:tcW w:type="dxa" w:w="36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Net</w:t>
            </w:r>
          </w:p>
        </w:tc>
        <w:tc>
          <w:tcPr>
            <w:tcW w:type="dxa" w:w="1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70%</w:t>
            </w:r>
          </w:p>
        </w:tc>
        <w:tc>
          <w:tcPr>
            <w:tcW w:type="dxa" w:w="4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transparent, revisable as data arrive</w:t>
            </w:r>
          </w:p>
        </w:tc>
      </w:tr>
    </w:tbl>
    <w:p>
      <w:pPr>
        <w:spacing w:after="120"/>
      </w:pPr>
      <w:r>
        <w:rPr>
          <w:b/>
          <w:bCs/>
        </w:rPr>
        <w:t xml:space="preserve">Same method, in brief: </w:t>
      </w:r>
      <w:r>
        <w:t xml:space="preserve">SPY002 60% = base 50 +15 (class precedent) +5 (HLE PK) −10 (monotherapy bar rising). Takeda 55% = base 35 +15 (Entyvio cliff) +10 (no internal TL1A) −5 (could buy a rival first). </w:t>
      </w:r>
      <w:r>
        <w:rPr>
          <w:b/>
          <w:bCs/>
        </w:rPr>
        <w:t xml:space="preserve">Every Meridian prediction will carry this decomposition</w:t>
      </w:r>
      <w:r>
        <w:t xml:space="preserve"> — the forecast is auditable, not asserted.</w:t>
      </w:r>
    </w:p>
    <w:p>
      <w:pPr>
        <w:pStyle w:val="Heading1"/>
      </w:pPr>
      <w:r>
        <w:t xml:space="preserve">8 · Whitespace — quantified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500"/>
        <w:gridCol w:w="2260"/>
      </w:tblGrid>
      <w:tr>
        <w:trPr>
          <w:tblHeader/>
        </w:trPr>
        <w:tc>
          <w:tcPr>
            <w:tcW w:type="dxa" w:w="5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22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assets (all stages)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36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Mechanism validated, busy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anti-TL1A at Phase 3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4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Saturated front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bispecific with clinical data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(p40) — format proven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p19 bispecifics in the clinic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MT-251 (Ph1); rest preclinical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p19 bispecifics with efficacy data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0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 whitespace ALX001 targets</w:t>
            </w:r>
          </w:p>
        </w:tc>
      </w:tr>
    </w:tbl>
    <w:p>
      <w:pPr>
        <w:pStyle w:val="Heading1"/>
      </w:pPr>
      <w:r>
        <w:t xml:space="preserve">9 · Value &amp; deal thesis (for the CEO)</w:t>
      </w:r>
    </w:p>
    <w:p>
      <w:pPr>
        <w:spacing w:after="120"/>
      </w:pPr>
      <w:r>
        <w:rPr>
          <w:b/>
          <w:bCs/>
        </w:rPr>
        <w:t xml:space="preserve">From patients to price. </w:t>
      </w:r>
      <w:r>
        <w:t xml:space="preserve">The addressable population is the biologic-failure IBD segment: ~42% of 1.68M US patients ≈ </w:t>
      </w:r>
      <w:r>
        <w:rPr>
          <w:b/>
          <w:bCs/>
        </w:rPr>
        <w:t xml:space="preserve">~700K US patients</w:t>
      </w:r>
      <w:r>
        <w:t xml:space="preserve"> inadequately served today, inside a $15B class. A differentiated dual-blockade agent priced at anti-IL-23 parity, capturing even a modest share of the failure population, supports a multi-billion-dollar peak-sales profile in the range of established IBD biologics.</w:t>
      </w:r>
      <w:r>
        <w:rPr>
          <w:rStyle w:val="FootnoteReference"/>
        </w:rPr>
        <w:footnoteReference w:id="3"/>
      </w:r>
      <w:r>
        <w:rPr>
          <w:rStyle w:val="FootnoteReference"/>
        </w:rPr>
        <w:footnoteReference w:id="17"/>
      </w:r>
    </w:p>
    <w:p>
      <w:pPr>
        <w:pStyle w:val="Heading2"/>
      </w:pPr>
      <w:r>
        <w:t xml:space="preserve">Comparable transactions (what the market pays for this mechanism)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500"/>
        <w:gridCol w:w="1500"/>
        <w:gridCol w:w="3810"/>
      </w:tblGrid>
      <w:tr>
        <w:trPr>
          <w:tblHeader/>
        </w:trPr>
        <w:tc>
          <w:tcPr>
            <w:tcW w:type="dxa" w:w="2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 at deal</w:t>
            </w:r>
          </w:p>
        </w:tc>
        <w:tc>
          <w:tcPr>
            <w:tcW w:type="dxa" w:w="38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implies for ALX001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Merck–Prometheus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CDx</w:t>
            </w:r>
          </w:p>
        </w:tc>
        <w:tc>
          <w:tcPr>
            <w:tcW w:type="dxa" w:w="3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Ceiling: de-risked anti-TL1A with biomarker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Roche–Telavant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Large-pharma will pay pre-pivotal for TL1A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Sanofi–Earendil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$2.5B total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Floor: preclinical bispecific value</w:t>
            </w:r>
          </w:p>
        </w:tc>
      </w:tr>
      <w:tr>
        <w:trPr>
          <w:tblHeader w:val="false"/>
        </w:trPr>
        <w:tc>
          <w:tcPr>
            <w:tcW w:type="dxa" w:w="2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Sanofi–Teva (duvakitug)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$1.5B total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8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Ph2 comparator</w:t>
            </w:r>
          </w:p>
        </w:tc>
      </w:tr>
    </w:tbl>
    <w:p>
      <w:pPr>
        <w:pStyle w:val="Heading2"/>
      </w:pPr>
      <w:r>
        <w:t xml:space="preserve">Deal structure — what Ailux should actually pursue</w:t>
      </w:r>
    </w:p>
    <w:p>
      <w:pPr>
        <w:spacing w:after="120"/>
      </w:pPr>
      <w:r>
        <w:t xml:space="preserve">So the CEO can test partner appetite, a concrete model anchored to the comps above [J]: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050"/>
        <w:gridCol w:w="39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3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Indicative ask</w:t>
            </w:r>
          </w:p>
        </w:tc>
        <w:tc>
          <w:tcPr>
            <w:tcW w:type="dxa" w:w="3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Structure</w:t>
            </w:r>
          </w:p>
        </w:tc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Out-license or co-development, NOT sale</w:t>
            </w:r>
          </w:p>
        </w:tc>
        <w:tc>
          <w:tcPr>
            <w:tcW w:type="dxa" w:w="3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asset; capture upside via milestones/royalties as data matures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Upfront</w:t>
            </w:r>
          </w:p>
        </w:tc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$75-200M (Ph1-ready p19 bispecific)</w:t>
            </w:r>
          </w:p>
        </w:tc>
        <w:tc>
          <w:tcPr>
            <w:tcW w:type="dxa" w:w="3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between Earendil-style preclinical and duvakitug Ph2 economics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/ milestones</w:t>
            </w:r>
          </w:p>
        </w:tc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biobucks</w:t>
            </w:r>
          </w:p>
        </w:tc>
        <w:tc>
          <w:tcPr>
            <w:tcW w:type="dxa" w:w="3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clinical, regulatory, sales milestones tied to additive-efficacy proof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Royalties</w:t>
            </w:r>
          </w:p>
        </w:tc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low-to-mid double digit</w:t>
            </w:r>
          </w:p>
        </w:tc>
        <w:tc>
          <w:tcPr>
            <w:tcW w:type="dxa" w:w="3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standard for in-licensed IBD biologics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Geography</w:t>
            </w:r>
          </w:p>
        </w:tc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retain China; out-license ex-China</w:t>
            </w:r>
          </w:p>
        </w:tc>
        <w:tc>
          <w:tcPr>
            <w:tcW w:type="dxa" w:w="3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Ailux's Shanghai base is a real asset — keep the home market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Trigger to launch process</w:t>
            </w:r>
          </w:p>
        </w:tc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after Ph1a safety + PD showing dual target engagement</w:t>
            </w:r>
          </w:p>
        </w:tc>
        <w:tc>
          <w:tcPr>
            <w:tcW w:type="dxa" w:w="3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enough to de-risk format without giving away the efficacy read</w:t>
            </w:r>
          </w:p>
        </w:tc>
      </w:tr>
    </w:tbl>
    <w:p>
      <w:pPr>
        <w:pStyle w:val="Heading2"/>
      </w:pPr>
      <w:r>
        <w:t xml:space="preserve">Value is a branching tree, not a line</w:t>
      </w:r>
    </w:p>
    <w:p>
      <w:pPr>
        <w:spacing w:after="120"/>
      </w:pPr>
      <w:r>
        <w:t xml:space="preserve">The same efficacy event produces very different outcomes depending on what travels with it [J/P]: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human efficacy)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profile (Q12W)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$10B+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 leadership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enters/exceeds Prometheus band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infection/immunogenicity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discount; partner caution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manufacturing/CMC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 (thesis fails)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crowded monospecific-adjacent asset</w:t>
            </w:r>
          </w:p>
        </w:tc>
      </w:tr>
    </w:tbl>
    <w:p>
      <w:pPr>
        <w:spacing w:after="120"/>
      </w:pPr>
      <w:r>
        <w:rPr>
          <w:b/>
          <w:bCs/>
          <w:color w:val="B45309"/>
        </w:rPr>
        <w:t xml:space="preserve">Conclusion [J]: </w:t>
      </w:r>
      <w:r>
        <w:t xml:space="preserve">the value inflection is the first additive-efficacy signal — but the multiple it earns is set by the </w:t>
      </w:r>
      <w:r>
        <w:rPr>
          <w:b/>
          <w:bCs/>
        </w:rPr>
        <w:t xml:space="preserve">evidence bundle around it</w:t>
      </w:r>
      <w:r>
        <w:t xml:space="preserve"> (safety + format + CMC), not efficacy alone. Reverse-engineer operations from delivering the whole bundle, not just the remission number.</w:t>
      </w:r>
      <w:r>
        <w:rPr>
          <w:rStyle w:val="FootnoteReference"/>
        </w:rPr>
        <w:footnoteReference w:id="17"/>
      </w:r>
    </w:p>
    <w:p>
      <w:pPr>
        <w:pStyle w:val="Heading2"/>
      </w:pPr>
      <w:r>
        <w:t xml:space="preserve">Would gastroenterologists switch? (the prescriber test)</w:t>
      </w:r>
    </w:p>
    <w:p>
      <w:pPr>
        <w:spacing w:after="120"/>
      </w:pPr>
      <w:r>
        <w:t xml:space="preserve">'Can it work?' is the science question; 'would doctors switch?' is the commercial one — and they have different answers [J]. A profile of </w:t>
      </w:r>
      <w:r>
        <w:rPr>
          <w:b/>
          <w:bCs/>
        </w:rPr>
        <w:t xml:space="preserve">~38% remission, clean safety, Q12W SC</w:t>
      </w:r>
      <w:r>
        <w:t xml:space="preserve"> would likely win new-start and post-IL-23 patients on convenience and the dual-mechanism story, but would </w:t>
      </w:r>
      <w:r>
        <w:rPr>
          <w:b/>
          <w:bCs/>
        </w:rPr>
        <w:t xml:space="preserve">not</w:t>
      </w:r>
      <w:r>
        <w:t xml:space="preserve"> by itself displace an entrenched Skyrizi or a CDx-enriched tulisokibart in stable patients. To drive a switch — and the $10B-tier deal — ALX001 most likely needs at least one of: </w:t>
      </w:r>
      <w:r>
        <w:rPr>
          <w:b/>
          <w:bCs/>
        </w:rPr>
        <w:t xml:space="preserve">fistula superiority, an anti-fibrotic/transmural-healing benefit, or a clear deep-remission advantage.</w:t>
      </w:r>
      <w:r>
        <w:t xml:space="preserve"> Those are different commercial futures, and they should shape the Phase 2 endpoint strategy now.</w:t>
      </w:r>
    </w:p>
    <w:p>
      <w:pPr>
        <w:pStyle w:val="Heading1"/>
      </w:pPr>
      <w:r>
        <w:t xml:space="preserve">10 · Counterparty scoring, China dynamics &amp; sequencing</w:t>
      </w:r>
    </w:p>
    <w:p>
      <w:pPr>
        <w:spacing w:after="120"/>
      </w:pPr>
      <w:r>
        <w:t xml:space="preserve">Weighted Strategic Need 50% · Timing 30% · Ability to Pay 20%. Interpretive framework, medium confidence.</w:t>
      </w:r>
      <w:r>
        <w:rPr>
          <w:rStyle w:val="FootnoteReference"/>
        </w:rPr>
        <w:footnoteReference w:id="16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50"/>
        <w:gridCol w:w="1700"/>
        <w:gridCol w:w="1550"/>
        <w:gridCol w:w="2260"/>
      </w:tblGrid>
      <w:tr>
        <w:trPr>
          <w:tblHeader/>
        </w:trPr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Company</w:t>
            </w:r>
          </w:p>
        </w:tc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Strategic need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Ability to pay</w:t>
            </w:r>
          </w:p>
        </w:tc>
        <w:tc>
          <w:tcPr>
            <w:tcW w:type="dxa" w:w="22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Overall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Takeda</w:t>
            </w:r>
          </w:p>
        </w:tc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9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8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9.3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</w:t>
            </w:r>
          </w:p>
        </w:tc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10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7.5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</w:t>
            </w:r>
          </w:p>
        </w:tc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10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7.3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</w:t>
            </w:r>
          </w:p>
        </w:tc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9</w:t>
            </w:r>
          </w:p>
        </w:tc>
        <w:tc>
          <w:tcPr>
            <w:tcW w:type="dxa" w:w="2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6.3</w:t>
            </w:r>
          </w:p>
        </w:tc>
      </w:tr>
    </w:tbl>
    <w:p>
      <w:pPr>
        <w:spacing w:after="120"/>
      </w:pPr>
      <w:r>
        <w:rPr>
          <w:b/>
          <w:bCs/>
        </w:rPr>
        <w:t xml:space="preserve">High-confidence facts: </w:t>
      </w:r>
      <w:r>
        <w:t xml:space="preserve">Takeda faces Entyvio biosimilar erosion from 2027, is GI-concentrated, and holds no TL1A/IL-23 asset. </w:t>
      </w:r>
      <w:r>
        <w:rPr>
          <w:b/>
          <w:bCs/>
          <w:color w:val="B45309"/>
        </w:rPr>
        <w:t xml:space="preserve">Meridian interpretation (medium confidence): </w:t>
      </w:r>
      <w:r>
        <w:t xml:space="preserve">those facts make Takeda the most likely premium acquirer — a thesis, not a fact. AbbVie engage post-ABBV-701 (~Oct'26); Merck post-ATLAS-UC; Sanofi conflicted (duvakitug + Earendil).</w:t>
      </w:r>
    </w:p>
    <w:p>
      <w:pPr>
        <w:pStyle w:val="Heading2"/>
      </w:pPr>
      <w:r>
        <w:t xml:space="preserve">China dynamics &amp; licensing-in optionality</w:t>
      </w:r>
    </w:p>
    <w:p>
      <w:pPr>
        <w:spacing w:after="120"/>
      </w:pPr>
      <w:r>
        <w:t xml:space="preserve">A defining feature of this area that Western-centric analyses miss: </w:t>
      </w:r>
      <w:r>
        <w:rPr>
          <w:b/>
          <w:bCs/>
        </w:rPr>
        <w:t xml:space="preserve">the bispecific lane is disproportionately China-origin</w:t>
      </w:r>
      <w:r>
        <w:t xml:space="preserve"> — LaNova's LQ080 (licensed ex-China to Zymeworks), Simcere's SIM0709 (to Boehringer), plus NovaMab, Elpiscience (ES302), Biocad (BCD-261) and Qyuns (QX030N). China is moving fast and cheap on exactly this format.</w:t>
      </w:r>
      <w:r>
        <w:rPr>
          <w:rStyle w:val="FootnoteReference"/>
        </w:rPr>
        <w:footnoteReference w:id="22"/>
      </w:r>
    </w:p>
    <w:p>
      <w:pPr>
        <w:spacing w:after="120"/>
      </w:pPr>
      <w:r>
        <w:rPr>
          <w:b/>
          <w:bCs/>
        </w:rPr>
        <w:t xml:space="preserve">Why this is an Ailux advantage, not just a threat: </w:t>
      </w:r>
      <w:r>
        <w:t xml:space="preserve">Ailux is itself a Shanghai-based biotech, inside the same innovation hub — with the cost structure, speed, and local capital that hub confers. The BI–Simcere precedent shows the dominant deal pattern here is a </w:t>
      </w:r>
      <w:r>
        <w:rPr>
          <w:b/>
          <w:bCs/>
        </w:rPr>
        <w:t xml:space="preserve">Western pharma licensing-in a China-originated bispecific.</w:t>
      </w:r>
      <w:r>
        <w:t xml:space="preserve"> That is plausibly ALX001's most likely path to a premium deal — and it argues for building Western-quality data packages and IP early to be the China asset a major chooses.</w:t>
      </w:r>
    </w:p>
    <w:p>
      <w:pPr>
        <w:pStyle w:val="Heading1"/>
      </w:pPr>
      <w:r>
        <w:t xml:space="preserve">11 · ALX001 — risk matrix &amp; win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2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Probability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Clinical-validation lag behind MT-251 / RO7837195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Medium-High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Indication saturation before entry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Mechanism failure (no additive efficacy)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Low-Medium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CMC / half-life trade-off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4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Financing / partnering risk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What must be true for ALX001 to win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Additive efficacy </w:t>
      </w:r>
      <w:r>
        <w:t xml:space="preserve">beyond the best monospecific (payer-preferred &gt;50% Wk52 + mucosal healing).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Comparable safety </w:t>
      </w:r>
      <w:r>
        <w:t xml:space="preserve">to anti-IL-23 (payer floor).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Long-acting SC delivery </w:t>
      </w:r>
      <w:r>
        <w:t xml:space="preserve">(~Q12W; avoid IV).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Timely entry + partner </w:t>
      </w:r>
      <w:r>
        <w:t xml:space="preserve">before the question is answered and before the post-Ph3 reset.</w:t>
      </w:r>
    </w:p>
    <w:p>
      <w:pPr>
        <w:spacing w:after="120"/>
      </w:pPr>
      <w:r>
        <w:rPr>
          <w:b/>
          <w:bCs/>
        </w:rPr>
        <w:t xml:space="preserve">Payer reality: </w:t>
      </w:r>
      <w:r>
        <w:t xml:space="preserve">UC requires ≥35% remission to compete and &gt;50% Wk52 with mucosal healing to be preferred, SC Q8-12W.</w:t>
      </w:r>
      <w:r>
        <w:rPr>
          <w:rStyle w:val="FootnoteReference"/>
        </w:rPr>
        <w:footnoteReference w:id="13"/>
      </w:r>
    </w:p>
    <w:p>
      <w:pPr>
        <w:pStyle w:val="Heading2"/>
      </w:pPr>
      <w:r>
        <w:t xml:space="preserve">Diligence checklist — what the board must obtain internally</w:t>
      </w:r>
    </w:p>
    <w:p>
      <w:pPr>
        <w:spacing w:after="120"/>
      </w:pPr>
      <w:r>
        <w:t xml:space="preserve">Meridian is external intelligence; the following are </w:t>
      </w:r>
      <w:r>
        <w:rPr>
          <w:b/>
          <w:bCs/>
        </w:rPr>
        <w:t xml:space="preserve">Ailux's proprietary asset data</w:t>
      </w:r>
      <w:r>
        <w:t xml:space="preserve"> that Meridian cannot and should not fabricate. They are the questions a partner will press in a two-hour diligence session — assemble the answers before any process [F: these are open gaps]: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 a partner will ask</w:t>
            </w:r>
          </w:p>
        </w:tc>
        <w:tc>
          <w:tcPr>
            <w:tcW w:type="dxa" w:w="63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a good answer looks like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target engagement additive in cynomolgus; half-life supporting Q12W SC in primate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histopathology</w:t>
            </w:r>
          </w:p>
        </w:tc>
        <w:tc>
          <w:tcPr>
            <w:tcW w:type="dxa" w:w="6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CRS signal from simultaneous TL1A+IL-23 engagement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projected ADA rate for the engineered bispecific vs XmAb942's low mAb rate; PK/efficacy impact modeled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DNA-to-tox-material timeline; expression titer (g/L); CDMO vs in-house; top-3 failure modes already de-risked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clearance vs the BMS/Celgene-era TL1A estate and competitor claims</w:t>
            </w:r>
          </w:p>
        </w:tc>
      </w:tr>
      <w:tr>
        <w:trPr>
          <w:tblHeader w:val="false"/>
        </w:trPr>
        <w:tc>
          <w:tcPr>
            <w:tcW w:type="dxa" w:w="3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Clinical plan</w:t>
            </w:r>
          </w:p>
        </w:tc>
        <w:tc>
          <w:tcPr>
            <w:tcW w:type="dxa" w:w="6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Ph1b PoC powered to read additive efficacy early (the kill-fast design)</w:t>
            </w:r>
          </w:p>
        </w:tc>
      </w:tr>
    </w:tbl>
    <w:p>
      <w:pPr>
        <w:spacing w:after="120"/>
      </w:pPr>
      <w:r>
        <w:rPr>
          <w:b/>
          <w:bCs/>
          <w:color w:val="B45309"/>
        </w:rPr>
        <w:t xml:space="preserve">Why this matters [J]: </w:t>
      </w:r>
      <w:r>
        <w:t xml:space="preserve">the strength of these answers, not the market model, decides whether the $6-11B band is reachable. Composition-of-matter / FTO (BMS/Celgene-era TL1A estate) and structured AE data are the first things a buyer checks — and the first gaps Meridian flags rather than invents.</w:t>
      </w:r>
      <w:r>
        <w:rPr>
          <w:rStyle w:val="FootnoteReference"/>
        </w:rPr>
        <w:footnoteReference w:id="23"/>
      </w:r>
    </w:p>
    <w:p>
      <w:pPr>
        <w:pStyle w:val="Heading1"/>
      </w:pPr>
      <w:r>
        <w:t xml:space="preserve">12 · Scenario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 for Ailux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ATLAS hits + bispecific signal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up. Accelerate BD.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 +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re-underwrite ALX001.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disappoints +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Major re-rating to dual blockade; highest ALX001 upside.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TL1A-class doubt; pivot/derisk.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The kill scenario (state it plainly). </w:t>
            </w:r>
            <w:r>
              <w:t xml:space="preserve">If RO7837195 and MT-251 show NO additive efficacy over monospecifics, AND ATLAS-UC hits (tulisokibart becomes standard of care), then no partner wants a bispecific that doesn't beat a single antibody — </w:t>
            </w:r>
            <w:r>
              <w:rPr>
                <w:b/>
                <w:bCs/>
              </w:rPr>
              <w:t xml:space="preserve">ALX001's value approaches zero.</w:t>
            </w:r>
            <w:r>
              <w:t xml:space="preserve"> This is the ~25% Scenario B world. The mitigation is a kill-fast clinical design: a Ph1b proof-of-concept built to read additive efficacy early and cheaply, so the company can stop or pivot before sinking Phase 2 capital.</w:t>
            </w:r>
          </w:p>
        </w:tc>
      </w:tr>
    </w:tbl>
    <w:p>
      <w:pPr>
        <w:pStyle w:val="Heading2"/>
      </w:pPr>
      <w:r>
        <w:t xml:space="preserve">Second-order effects — the reaction chain (where intelligence becomes strategy)</w:t>
      </w:r>
    </w:p>
    <w:p>
      <w:pPr>
        <w:spacing w:after="120"/>
      </w:pPr>
      <w:r>
        <w:t xml:space="preserve">The value is not the event; it is the reaction. Worked example — </w:t>
      </w:r>
      <w:r>
        <w:rPr>
          <w:b/>
          <w:bCs/>
        </w:rPr>
        <w:t xml:space="preserve">ATLAS-UC hits (Q4 2026):</w:t>
      </w:r>
      <w:r>
        <w:t xml:space="preserve"> → Merck gains negotiating leverage and sets the UC price/efficacy anchor → Takeda's urgency rises (its window shrinks) → Sanofi repositions duvakitug on safety/convenience → AbbVie accelerates ABBV-701 to stay in the franchise. </w:t>
      </w:r>
      <w:r>
        <w:rPr>
          <w:b/>
          <w:bCs/>
        </w:rPr>
        <w:t xml:space="preserve">Implication for Ailux [J]: </w:t>
      </w:r>
      <w:r>
        <w:t xml:space="preserve">the best BD window opens 3-6 months AFTER ATLAS — when buyers feel the pressure but the bispecific question is still open. Meridian's deal-sequencing layer should monitor this chain in real time.</w:t>
      </w:r>
    </w:p>
    <w:p>
      <w:pPr>
        <w:pStyle w:val="Heading1"/>
      </w:pPr>
      <w:r>
        <w:t xml:space="preserve">13 · What would change our view</w:t>
      </w:r>
    </w:p>
    <w:p>
      <w:pPr>
        <w:spacing w:after="120"/>
      </w:pPr>
      <w:r>
        <w:rPr>
          <w:b/>
          <w:bCs/>
        </w:rPr>
        <w:t xml:space="preserve">Thesis: </w:t>
      </w:r>
      <w:r>
        <w:t xml:space="preserve">a TL1A×IL-23p19 bispecific can outperform monospecifics in IBD.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Tulisokibart ATLAS-UC remission exceeds expectations (bar a second mechanism can't economically clear).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RO7837195 / MT-251 show no additive efficacy — the mechanism premium evaporates.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 safety or PK penalty emerges from dual mechanism.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 precision-CDx monospecific captures the high-value responder segment first.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Long-term (2030+): </w:t>
      </w:r>
      <w:r>
        <w:t xml:space="preserve">an oral IL-23 or oral TL1A (or the broader oral wave — TYK2, S1P, RIPK1) arrives; a daily pill patients prefer erodes the injectable-biologic market a quarterly SC bispecific competes in. A 5-7 year risk a partner will model — the bispecific's defense is depth/durability of remission an oral cannot match.</w:t>
      </w:r>
    </w:p>
    <w:p>
      <w:pPr>
        <w:pStyle w:val="Heading1"/>
      </w:pPr>
      <w:r>
        <w:t xml:space="preserve">14 · Confidence heat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73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73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Claims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5803D"/>
              </w:rPr>
              <w:t xml:space="preserve">HIGH</w:t>
            </w:r>
          </w:p>
        </w:tc>
        <w:tc>
          <w:tcPr>
            <w:tcW w:type="dxa" w:w="7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Epidemiology; Phase 2 efficacy/PK (conference-reported); regulatory precedent; corrected asset stages; deal values.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5309"/>
              </w:rPr>
              <w:t xml:space="preserve">MEDIUM</w:t>
            </w:r>
          </w:p>
        </w:tc>
        <w:tc>
          <w:tcPr>
            <w:tcW w:type="dxa" w:w="7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Non-responder rates (modeled); Takeda thesis; counterparty scores; deep-remission target.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LOW</w:t>
            </w:r>
          </w:p>
        </w:tc>
        <w:tc>
          <w:tcPr>
            <w:tcW w:type="dxa" w:w="73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Value-range figures; whether dual blockade is additive; scenario probabilities; long-term leadership.</w:t>
            </w:r>
          </w:p>
        </w:tc>
      </w:tr>
    </w:tbl>
    <w:p>
      <w:pPr>
        <w:pStyle w:val="Heading1"/>
      </w:pPr>
      <w:r>
        <w:t xml:space="preserve">15 · Meridian's standing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0"/>
        <w:gridCol w:w="1300"/>
        <w:gridCol w:w="1300"/>
        <w:gridCol w:w="1500"/>
      </w:tblGrid>
      <w:tr>
        <w:trPr>
          <w:tblHeader/>
        </w:trPr>
        <w:tc>
          <w:tcPr>
            <w:tcW w:type="dxa" w:w="52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Conviction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by</w:t>
            </w:r>
          </w:p>
        </w:tc>
      </w:tr>
      <w:tr>
        <w:trPr>
          <w:tblHeader w:val="false"/>
        </w:trPr>
        <w:tc>
          <w:tcPr>
            <w:tcW w:type="dxa" w:w="5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primary endpoint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70%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Mar 2027</w:t>
            </w:r>
          </w:p>
        </w:tc>
      </w:tr>
      <w:tr>
        <w:trPr>
          <w:tblHeader w:val="false"/>
        </w:trPr>
        <w:tc>
          <w:tcPr>
            <w:tcW w:type="dxa" w:w="5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 meaningful induction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60%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Sep 2026</w:t>
            </w:r>
          </w:p>
        </w:tc>
      </w:tr>
      <w:tr>
        <w:trPr>
          <w:tblHeader w:val="false"/>
        </w:trPr>
        <w:tc>
          <w:tcPr>
            <w:tcW w:type="dxa" w:w="5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Ph1 clean + advanced in 6 months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75%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Jun 2027</w:t>
            </w:r>
          </w:p>
        </w:tc>
      </w:tr>
      <w:tr>
        <w:trPr>
          <w:tblHeader w:val="false"/>
        </w:trPr>
        <w:tc>
          <w:tcPr>
            <w:tcW w:type="dxa" w:w="5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 bispecific deal &gt;= 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70%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5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 bispecific human efficacy data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60%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  <w:tr>
        <w:trPr>
          <w:tblHeader w:val="false"/>
        </w:trPr>
        <w:tc>
          <w:tcPr>
            <w:tcW w:type="dxa" w:w="52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Takeda enters TL1A via M&amp;A / in-licensing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acquisition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55%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Dec 2027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matters: </w:t>
      </w:r>
      <w:r>
        <w:t xml:space="preserve">the brief states a view; the ledger makes it accountable. As these resolve, this analysis earns — or loses — credibility on the record.</w:t>
      </w:r>
      <w:r>
        <w:rPr>
          <w:rStyle w:val="FootnoteReference"/>
        </w:rPr>
        <w:footnoteReference w:id="15"/>
      </w:r>
    </w:p>
    <w:p>
      <w:pPr>
        <w:pStyle w:val="Heading1"/>
      </w:pPr>
      <w:r>
        <w:t xml:space="preserve">Sources &amp; references</w:t>
      </w:r>
    </w:p>
    <w:p>
      <w:pPr>
        <w:spacing w:after="120"/>
      </w:pPr>
      <w:r>
        <w:t xml:space="preserve">Numbered citations resolve in the footnotes on each page. Evidence hierarchy: ClinicalTrials.gov &amp; company IR; peer-reviewed publications &amp; conference abstracts (ECCO, DDW); then press/SEC; Meridian intelligence-graph derivations are labeled as such. Every claim is confirmed against a source or labeled inference / framework / modeled.</w:t>
      </w:r>
    </w:p>
    <w:p>
      <w:pPr>
        <w:spacing w:after="120"/>
      </w:pPr>
      <w:r>
        <w:rPr>
          <w:i/>
          <w:iCs/>
        </w:rPr>
        <w:t xml:space="preserve">Generated by Meridian from its source-traced intelligence graph. Executive/Scientific edition (v4): reasons from patient need → mechanism → competitive data → molecular design → regulatory path → value, per the Meridian North Star. Includes the accuracy corrections of 2026-06-07 (Mirador added; ABBV-701 reclassified monospecific; inflated bispecific stages corrected).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4"/>
        <w:szCs w:val="14"/>
      </w:rPr>
      <w:t xml:space="preserve">Confidential · source-traced intelligence · Page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</w:rPr>
      <w:t xml:space="preserve"> of </w:t>
    </w:r>
    <w:r>
      <w:rPr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Ulcerative colitis epidemiology &amp; benchmarks (Meridian indication_patient_intelligence): ~900K US / ~5M global patients; ~$8B market; SoC clinical remission ~25% (Wk10-12 induction), ~15-20% endoscopic remission; biologic failure ~40%; ~150-200K US patients exhaust medical options toward colectomy; unmet-need 8/10.</w:t>
      </w:r>
    </w:p>
  </w:footnote>
  <w:footnote w:id="2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Crohn's disease (same source): ~780K US / ~3M global; ~$7B market; ~20-35% remission; fibrostenotic &amp; fistulizing CD (~30%) largely untreated; transmural healing &lt;10%; biologic failure ~45%; unmet-need 9/10.</w:t>
      </w:r>
    </w:p>
  </w:footnote>
  <w:footnote w:id="3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IBD overall (same source): ~1.68M US / ~8M global; ~$15B market; 40-50% of patients fail or lose response within 5 years; deep remission ceiling ~15-20%. DB-stated hypothesis: dual TL1A x IL-23p19 blockade targets 30-40% deep remission.</w:t>
      </w:r>
    </w:p>
  </w:footnote>
  <w:footnote w:id="4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Target-engagement vs efficacy (Meridian drug_pd_parameters): tulisokibart free-sTL1A suppression ~90% yet ~28% remission; afimkibart ~92% TE yet ~26% remission. Disconnect hypothesis: IL-23-independent Th17 activation + epithelial-restitution failure persist under TL1A blockade.</w:t>
      </w:r>
    </w:p>
  </w:footnote>
  <w:footnote w:id="5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Mechanism precedent (Meridian mechanism_precedent_map): anti-TL1A = PIONEER, 0 approvals (tulisokibart/duvakitug Ph3); IBD endpoints precedented; risk is superiority demonstration. anti-IL-23p19 = ESTABLISHED, 3 approvals since 2017 (guselkumab, risankizumab, mirikizumab); risankizumab PsO-&gt;PsA-&gt;CD-&gt;UC is the canonical multi-indication path.</w:t>
      </w:r>
    </w:p>
  </w:footnote>
  <w:footnote w:id="6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Duvakitug (TEV-48574) Ph2b — UC 37% vs 13% placebo, Wk12, p&lt;0.001 (MMCS); CD 43% Wk12 (HBI). ECCO 2025 oral OP41; DDW 2024/25. CT.gov NCT05013138.</w:t>
      </w:r>
    </w:p>
  </w:footnote>
  <w:footnote w:id="7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Tulisokibart ARTEMIS/TUSCANY Ph2 UC — 28% vs 8% Wk12; sTL1A suppression &gt;90%. ATLAS-UC Ph3 (n~1,020) primary completion Aug 2026. ECCO 2024; DDW/ECCO 2025-26 (P0580, Tu1933, P0837). CT.gov NCT04737863 / NCT06052059.</w:t>
      </w:r>
    </w:p>
  </w:footnote>
  <w:footnote w:id="8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Afimkibart (Roche/Telavant) Ph3 (NCT06819878); TUSCANY-2 Ph2 primary miss in history.</w:t>
      </w:r>
    </w:p>
  </w:footnote>
  <w:footnote w:id="9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XmAb942 (Xencor) Ph1 — ~74-day half-life, low immunogenicity; potential best-in-class long-acting anti-TL1A. DDW 2026 Mo1538; ECCO 2026 P0984. XmAb412 (bispecific) preclinical, FIH planned 2026 (stage corrected from Ph2, Meridian audit 2026-06-07).</w:t>
      </w:r>
    </w:p>
  </w:footnote>
  <w:footnote w:id="10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Spyre — SPY002 (anti-TL1A ~37d t1/2) SKYLINE-UC Part A 'potential best-in-class' induction (Apr 2026); SPY003 (anti-IL-23) interim Ph1 positive (DDW/ECCO 2026 Tu1469/P0834). SPY230 = SPY002+SPY003 combination, not a single bispecific.</w:t>
      </w:r>
    </w:p>
  </w:footnote>
  <w:footnote w:id="11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RO7837195 (Roche/Pfizer) — IL-23p40 x TL1A bispecific; first clinical data for a TL1A x IL-23 bispecific in IBD (Ph2, ECCO 2026). MT-251 (Mirador) — long-acting TL1A x IL-23 bispecific, Ph1 FIH Q1 2026 (NCT07423299), pH-sensitive FcRn recycling. SIM0709/SAB06 corrected to preclinical (Meridian audit).</w:t>
      </w:r>
    </w:p>
  </w:footnote>
  <w:footnote w:id="12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Deal benchmarks (Meridian deals): Merck-Prometheus $10.8B (2023, Ph2 anti-TL1A + CDx); Roche-Telavant $7.25B (2023, pre-Ph3 anti-TL1A); Sanofi-Earendil $2.5B total (2026, preclinical bispecifics); Sanofi-Teva duvakitug $1.5B total.</w:t>
      </w:r>
    </w:p>
  </w:footnote>
  <w:footnote w:id="13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Payer TPP, UC (Meridian payer_tpp_criteria): minimum clinical remission &gt;=35% (match risankizumab); preferred &gt;50% Wk52 with mucosal healing; SC Q8-Q12W maintenance; safety comparable to anti-IL-23.</w:t>
      </w:r>
    </w:p>
  </w:footnote>
  <w:footnote w:id="14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Non-responder biology (Meridian non_responder_profiles): tulisokibart ~72% non-responders (IL-23-independent Th17, epithelial restitution); risankizumab ~55% (Th1/IL-12-independent IFN-g); anti-TNF ~30-35% (TL1A-fibrosis, OSM/OSMR).</w:t>
      </w:r>
    </w:p>
  </w:footnote>
  <w:footnote w:id="15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Meridian foresight_predictions — confidence set in advance, scored as each resolves. /predictions.html.</w:t>
      </w:r>
    </w:p>
  </w:footnote>
  <w:footnote w:id="16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Counterparty framework — Meridian weights: Strategic Need 50%, Timing 30%, Ability to Pay 20% (0-10 inputs). Medium confidence; interpretive.</w:t>
      </w:r>
    </w:p>
  </w:footnote>
  <w:footnote w:id="17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Value model is illustrative and assumption-driven (labeled). Inputs: epidemiology (refs 1-3), deal comps (ref 12), IBD biologic peak-sales analogues (Skyrizi/Stelara class). Low-medium confidence; a framework for board discussion, not a valuation opinion.</w:t>
      </w:r>
    </w:p>
  </w:footnote>
  <w:footnote w:id="18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Cross-trial comparability: placebo-adjusted delta = active remission - placebo arm. duvakitug UC 37-13=+24pp (MMCS, bio-mixed); tulisokibart UC 28-8=+20pp (MMS=0). Headline gap (9pp) overstates; placebo-adjusted gap ~4pp. Endpoints, populations and trial sizes differ — not head-to-head. Caution per Meridian data-integrity SOP.</w:t>
      </w:r>
    </w:p>
  </w:footnote>
  <w:footnote w:id="19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Manufacturing/CMC (Meridian manufacturing_profile): bispecific/multispecific antibodies = VERY-HIGH CMC complexity (chain mispairing, aggregation, yield, comparability); monospecific mAbs = HIGH. The bispecific manufacturability tax is a cost/timeline risk and a barrier to entry.</w:t>
      </w:r>
    </w:p>
  </w:footnote>
  <w:footnote w:id="20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Biomarkers (Meridian drug_biomarkers): predictive/CDx — HLA-DQA1*05; non-responder/escape — OSM (Oncostatin M, OSM/OSMR axis); PD-monitoring — soluble TL1A, fecal calprotectin, CRP. SPY002 and the ALX001 anti-TL1A arm both track OSM + fecal calprotectin.</w:t>
      </w:r>
    </w:p>
  </w:footnote>
  <w:footnote w:id="21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Safety: anti-IL-23p19 class (risankizumab) carries a notably clean infection/malignancy profile — a favorable backdrop for the IL-23 arm of a combination. tulisokibart 50-week infection-AE data presented ECCO 2025 P0749 / DDW 2025 Tu1933. Open question: whether dual TL1A+IL-23 blockade raises infection risk beyond either alone — unproven either way.</w:t>
      </w:r>
    </w:p>
  </w:footnote>
  <w:footnote w:id="22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China dynamics (Meridian asset_transfer_history + drugs): multiple TL1A x IL-23 bispecifics are China-origin (LaNova/LQ080-&gt;Zymeworks ex-China; Simcere/SIM0709-&gt;Boehringer; NovaMab, Elpiscience/ES302, Biocad/BCD-261, Qyuns/QX030N). Ailux is itself a Shanghai-based biotech — inside the same innovation hub.</w:t>
      </w:r>
    </w:p>
  </w:footnote>
  <w:footnote w:id="23">
    <w:p>
      <w:r>
        <w:rPr>
          <w:rStyle w:val="FootnoteReference"/>
        </w:rPr>
        <w:footnoteRef/>
      </w:r>
      <w:r>
        <w:rPr>
          <w:sz w:val="15"/>
          <w:szCs w:val="15"/>
        </w:rPr>
        <w:t xml:space="preserve">Drug-patent and FDA-label safety tables are currently EMPTY in Meridian for these assets — composition-of-matter/FTO and structured AE data are an open diligence gap, flagged not fabricated.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5"/>
        <w:szCs w:val="15"/>
      </w:rPr>
      <w:t xml:space="preserve">◆ THE MERIDIAN</w:t>
    </w:r>
    <w:r>
      <w:rPr>
        <w:color w:val="64748B"/>
        <w:sz w:val="15"/>
        <w:szCs w:val="15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4"/>
      </w:pBdr>
      <w:spacing w:after="100" w:before="230"/>
      <w:outlineLvl w:val="0"/>
    </w:pPr>
    <w:rPr>
      <w:rFonts w:ascii="Arial" w:cs="Arial" w:eastAsia="Arial" w:hAnsi="Arial"/>
      <w:b/>
      <w:bCs/>
      <w:color w:val="1A3F8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427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2026-06-07T18:47:38.001Z</dcterms:created>
  <dcterms:modified xsi:type="dcterms:W3CDTF">2026-06-07T18:47:38.004Z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