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8,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TL1A × IL-23p19 in UC/CD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~1.7M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$30.7→41.9B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IBD market '24→'30 (Cowen)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fail therapy /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6+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mechanism classes in use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Four anti-TL1A monotherapies are in Phase 3: </w:t>
      </w:r>
      <w:r>
        <w:rPr>
          <w:b/>
          <w:bCs/>
        </w:rPr>
        <w:t xml:space="preserve">tulisokibart</w:t>
      </w:r>
      <w:r>
        <w:t xml:space="preserve"> (Merck), </w:t>
      </w:r>
      <w:r>
        <w:rPr>
          <w:b/>
          <w:bCs/>
        </w:rPr>
        <w:t xml:space="preserve">afimkibart</w:t>
      </w:r>
      <w:r>
        <w:t xml:space="preserve"> (Roche), </w:t>
      </w:r>
      <w:r>
        <w:rPr>
          <w:b/>
          <w:bCs/>
        </w:rPr>
        <w:t xml:space="preserve">duvakitug</w:t>
      </w:r>
      <w:r>
        <w:t xml:space="preserve"> (Sanofi/Teva), and </w:t>
      </w:r>
      <w:r>
        <w:rPr>
          <w:b/>
          <w:bCs/>
        </w:rPr>
        <w:t xml:space="preserve">SPY002</w:t>
      </w:r>
      <w:r>
        <w:t xml:space="preserve"> (Spyre) in Phase 2. Anti-TL1A is clinically validated but not yet approved. The unresolved question is whether combining TL1A blockade with IL-23p19 blockade in a single molecule produces </w:t>
      </w:r>
      <w:r>
        <w:rPr>
          <w:b/>
          <w:bCs/>
        </w:rPr>
        <w:t xml:space="preserve">additive</w:t>
      </w:r>
      <w:r>
        <w:t xml:space="preserve"> efficacy beyond the best monotherapy; no bispecific has reported a human efficacy readout. A first additive-efficacy result, paired with a manufacturable long-acting subcutaneous profile and a clean safety dataset, enters a deal range set by </w:t>
      </w:r>
      <w:hyperlink w:history="1" r:id="rIdfojgpmasptdhyug2w-lzz">
        <w:r>
          <w:rPr>
            <w:rStyle w:val="Hyperlink"/>
          </w:rPr>
          <w:t xml:space="preserve">Merck's $10.8B purchase of Prometheus and Roche's $7.1B purchase of Telavant</w:t>
        </w:r>
      </w:hyperlink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IL-23p19 monotherapy is approved and durable in IBD; TL1A monotherapy is validated in Phase 2 and currently in Phase 3; the dual-mechanism bispecific is unproven and, in the clinic, uncrowded. The opportunity is the gap between today's ~15-20% deep-remission ceiling and the 30-40% dual blockade is hypothesized to reach.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TL1A/IL-23 assets are judged: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must beat the best monospecific (duvakitug 37% UC, 43% CD); target engagement is ~90% yet remission is ~26% — engagement alone does not deliver remission. Several open questions sit under this, incl. durability and CD vs UC effect.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&amp; 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SC (≈Q12W; XmAb942 ~74-day t½) vs IV infusion (tulisokibart, duvakitug); SC pen + no infusion center is the payer-preferred profile (see Payer).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of therapy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entry is bio-experienced / multi-refractory; value rises with movement earlier in the sequence (see Lines of therapy).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companion diagnostic enriches responders (tulisokibart 32% vs 26% with its genetic test) or defines the escape segment (OSM-high) a monotherapy leaves behind.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Evidence bundle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(esp. infection in dual immunosuppression), immunogenicity, and CMC (bispecific = very-high complexity) move the deal multiple as much as the remission number.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competition is both target-space (other TL1A/IL-23 assets) and indication-space (JAK, S1P, TYK2 orals; anti-TNF biosimilars) — see Alternative mechanisms.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Independent commentary (</w:t>
      </w:r>
      <w:hyperlink w:history="1" r:id="rIdeu860qkkf0acsdzkcnrvn">
        <w:r>
          <w:rPr>
            <w:rStyle w:val="Hyperlink"/>
          </w:rPr>
          <w:t xml:space="preserve">ACG review, 2024</w:t>
        </w:r>
      </w:hyperlink>
      <w:r>
        <w:t xml:space="preserve">) describes anti-TL1A as a credible new class while noting remission rates remain modest and durability and positioning are unproven</w:t>
      </w:r>
      <w:r>
        <w:t xml:space="preserve"/>
      </w:r>
      <w:r>
        <w:t xml:space="preserve"> — the case for a mechanism that lifts the efficacy ceiling rather than adding another single-pathway option. </w:t>
      </w:r>
      <w:r>
        <w:rPr>
          <w:b/>
          <w:bCs/>
        </w:rPr>
        <w:t xml:space="preserve">TD Cowen's 2025 GI Outlook</w:t>
      </w:r>
      <w:r>
        <w:t xml:space="preserve"> reaches the same conclusion from the sell-side: TL1A monotherapy data are 'more similar than different' across programs, and combinations may be needed in TNF-experienced patients — the exact gap a TL1A×IL-23p19 bispecific targets.</w:t>
      </w:r>
    </w:p>
    <w:p>
      <w:pPr>
        <w:pStyle w:val="Heading1"/>
      </w:pPr>
      <w:r>
        <w:t xml:space="preserve">1 · Patient &amp; disease (UC and 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50"/>
        <w:gridCol w:w="1350"/>
        <w:gridCol w:w="461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CD</w:t>
            </w:r>
          </w:p>
        </w:tc>
        <w:tc>
          <w:tcPr>
            <w:tcW w:type="dxa" w:w="46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 patients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~0.9-1.25M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~0.78M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~1.7M combined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SoC remission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 remission 15-20% either disease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Surgical endpoint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colectomy (~150-200K)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resection (~80% / 20 yrs)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 also: fistulizing ~30%, transmural healing &lt;10%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Distinct challenge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mucosal disease, endoscopic healing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stricturing/fibrosis, perianal/fistulizing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TL1A's fibro-stromal role is most relevant in CD</w:t>
            </w:r>
          </w:p>
        </w:tc>
      </w:tr>
    </w:tbl>
    <w:p>
      <w:pPr>
        <w:spacing w:after="120"/>
      </w:pPr>
      <w:r>
        <w:t xml:space="preserve">Both diseases share a </w:t>
      </w:r>
      <w:r>
        <w:rPr>
          <w:b/>
          <w:bCs/>
        </w:rPr>
        <w:t xml:space="preserve">remission ceiling</w:t>
      </w:r>
      <w:r>
        <w:t xml:space="preserve">: the best agents reach ~15-20% deep remission and </w:t>
      </w:r>
      <w:hyperlink w:history="1" r:id="rIdlfthahvkpepxgwvplglbm">
        <w:r>
          <w:rPr>
            <w:rStyle w:val="Hyperlink"/>
          </w:rPr>
          <w:t xml:space="preserve">40-50% of patients fail or lose response within five years</w:t>
        </w:r>
      </w:hyperlink>
      <w:r>
        <w:t xml:space="preserve"> (secondary loss ~10-20%/yr). The diseases differ in what is unmet: UC turns on mucosal/endoscopic healing and the colectomy endpoint; CD adds fibrostenotic and fistulizing complications that no current agent durably resolves — and where TL1A's role in fibro-stromal remodeling is mechanistically most relevant. A dual-mechanism asset should be read against both.</w:t>
      </w:r>
    </w:p>
    <w:p>
      <w:pPr>
        <w:spacing w:after="120"/>
      </w:pPr>
      <w:r>
        <w:rPr>
          <w:b/>
          <w:bCs/>
        </w:rPr>
        <w:t xml:space="preserve">Why a bispecific. </w:t>
      </w:r>
      <w:r>
        <w:t xml:space="preserve">Anti-TL1A monotherapy leaves an IL-23-dependent Th17 escape route open (Section 3); IL-23p19 monotherapy leaves a non-overlapping Th1/IFN-γ route. One molecule covering both is the mechanism-level response to a ceiling single pathways have not broken — the same logic behind AbbVie pairing </w:t>
      </w:r>
      <w:r>
        <w:rPr>
          <w:b/>
          <w:bCs/>
        </w:rPr>
        <w:t xml:space="preserve">ABBV-701</w:t>
      </w:r>
      <w:r>
        <w:t xml:space="preserve"> (anti-TL1A) with </w:t>
      </w:r>
      <w:r>
        <w:rPr>
          <w:b/>
          <w:bCs/>
        </w:rPr>
        <w:t xml:space="preserve">SKYRIZI</w:t>
      </w:r>
      <w:r>
        <w:t xml:space="preserve"> (IL-23) as a two-drug regimen.</w:t>
      </w:r>
      <w:r>
        <w:t xml:space="preserve"/>
      </w:r>
    </w:p>
    <w:p>
      <w:pPr>
        <w:pStyle w:val="Heading1"/>
      </w:pPr>
      <w:r>
        <w:t xml:space="preserve">2 · Lines of therapy &amp; where TL1A/IL-23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5"/>
        <w:gridCol w:w="3905"/>
      </w:tblGrid>
      <w:tr>
        <w:trPr>
          <w:tblHeader/>
        </w:trPr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Crohn's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conventional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5-ASA, corticosteroids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corticosteroids, immunomodulators (AZA/MTX)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2L advanced (entry)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(biosimilar, payer-preferred on cost), vedolizumab, ustekinumab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(infliximab/adalimumab), vedolizumab, ustekinumab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3L+ / refractory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 (risankizumab, mirikizumab), upadacitinib (JAK), S1P (etrasimod)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IL-23p19, upadacitinib; fistulizing CD largely unmet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TL1A/IL-23 likely entry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 / multi-refractory, then earlier with data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bio-experienced; fibrostenotic/fistulizing is the white space</w:t>
            </w:r>
          </w:p>
        </w:tc>
      </w:tr>
    </w:tbl>
    <w:p>
      <w:pPr>
        <w:spacing w:after="120"/>
      </w:pPr>
      <w:r>
        <w:t xml:space="preserve">Step therapy and payer rules generally </w:t>
      </w:r>
      <w:hyperlink w:history="1" r:id="rIdknjrm8ka7ojpj0g2f4sqz">
        <w:r>
          <w:rPr>
            <w:rStyle w:val="Hyperlink"/>
          </w:rPr>
          <w:t xml:space="preserve">force an anti-TNF biosimilar before newer advanced agents</w:t>
        </w:r>
      </w:hyperlink>
      <w:r>
        <w:t xml:space="preserve">, so a new mechanism enters in the </w:t>
      </w:r>
      <w:r>
        <w:rPr>
          <w:b/>
          <w:bCs/>
        </w:rPr>
        <w:t xml:space="preserve">biologic-experienced</w:t>
      </w:r>
      <w:r>
        <w:t xml:space="preserve"> population and earns earlier placement only with superior data. Addressable value therefore scales with how early in the sequence the asset can credibly move — and a bispecific's additive-efficacy claim is the lever that justifies moving up.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Engagement vs efficacy</w:t>
      </w:r>
    </w:p>
    <w:p>
      <w:pPr>
        <w:spacing w:after="120"/>
      </w:pPr>
      <w:r>
        <w:t xml:space="preserve">Anti-TL1A antibodies achieve ~90% suppression of free soluble TL1A (tulisokibart ~90%, afimkibart ~92%), yet clinical remission is ~26%. In </w:t>
      </w:r>
      <w:hyperlink w:history="1" r:id="rIda4qcnj3jnlb7wneasoojb">
        <w:r>
          <w:rPr>
            <w:rStyle w:val="Hyperlink"/>
          </w:rPr>
          <w:t xml:space="preserve">ARTEMIS-UC</w:t>
        </w:r>
      </w:hyperlink>
      <w:r>
        <w:t xml:space="preserve">, tulisokibart produced 26% remission vs 1% placebo at Week 12, and 32% vs 11% in a genetic-biomarker-selected subgroup.</w:t>
      </w:r>
      <w:r>
        <w:t xml:space="preserve"/>
      </w:r>
      <w:r>
        <w:t xml:space="preserve"> The antibody binds and neutralizes its target; the disease persists in roughly three-quarters of patients. Closing that gap is a problem the field has to solve.</w:t>
      </w:r>
    </w:p>
    <w:p>
      <w:pPr>
        <w:pStyle w:val="Heading2"/>
      </w:pPr>
      <w:r>
        <w:t xml:space="preserve">The escape pathway</w:t>
      </w:r>
    </w:p>
    <w:p>
      <w:pPr>
        <w:spacing w:after="120"/>
      </w:pPr>
      <w:r>
        <w:t xml:space="preserve">TL1A blockade leaves </w:t>
      </w:r>
      <w:r>
        <w:rPr>
          <w:b/>
          <w:bCs/>
        </w:rPr>
        <w:t xml:space="preserve">IL-23-dependent Th17 activation</w:t>
      </w:r>
      <w:r>
        <w:t xml:space="preserve"> and epithelial-restitution failure untouched. Anti-TL1A non-responders escape predominantly through Th17 routes; anti-IL-23 non-responders escape through Th1 / IL-12-independent IFN-γ — two largely non-overlapping maps. Afimkibart's serum proteomics show the converse: it downregulates Th17, myeloid and fibrotic pathways</w:t>
      </w:r>
      <w:r>
        <w:t xml:space="preserve"/>
      </w:r>
      <w:r>
        <w:t xml:space="preserve">, confirming TL1A's fibrotic reach and where a second mechanism remains needed.</w:t>
      </w:r>
    </w:p>
    <w:p>
      <w:pPr>
        <w:pStyle w:val="Heading2"/>
      </w:pPr>
      <w:r>
        <w:t xml:space="preserve">Why IL-23p19, and what is already proven</w:t>
      </w:r>
    </w:p>
    <w:p>
      <w:pPr>
        <w:spacing w:after="120"/>
      </w:pPr>
      <w:r>
        <w:t xml:space="preserve">IL-23p19 closes the Th17 route while preserving IL-12/Th1 immunity (unlike p40), and </w:t>
      </w:r>
      <w:r>
        <w:rPr>
          <w:b/>
          <w:bCs/>
        </w:rPr>
        <w:t xml:space="preserve">it is already validated in IBD</w:t>
      </w:r>
      <w:r>
        <w:t xml:space="preserve">: mirikizumab (Omvoh) approved UC 2023 and CD 2025 with </w:t>
      </w:r>
      <w:hyperlink w:history="1" r:id="rIdw694dwcxr0hgicrm46xae">
        <w:r>
          <w:rPr>
            <w:rStyle w:val="Hyperlink"/>
          </w:rPr>
          <w:t xml:space="preserve">four-year durability</w:t>
        </w:r>
      </w:hyperlink>
      <w:r>
        <w:t xml:space="preserve">, risankizumab (Skyrizi) approved CD and UC, guselkumab approved. Of the two arms, IL-23p19 is fully de-risked, TL1A is partially de-risked (positive Phase 2, in Phase 3, not approved), and the combination is the only unproven element. The remaining work is the additive-efficacy readout, not validation of either pathway.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the engagement-to-remission gap is driven by a non-overlapping IL-23-dependent escape route, dual blockade should convert engagement into remission — the 30-40% deep-remission hypothesis. It is falsifiable: if dual blockade does not beat the best monospecific, the thesis fails. </w:t>
            </w:r>
            <w:r>
              <w:t xml:space="preserve">RO7837195 (p40×TL1A) and MT-251 are the </w:t>
            </w:r>
            <w:hyperlink w:history="1" r:id="rIdqy8wv_w33-anpqrny6v1u">
              <w:r>
                <w:rPr>
                  <w:rStyle w:val="Hyperlink"/>
                </w:rPr>
                <w:t xml:space="preserve">first programs positioned to test it</w:t>
              </w:r>
            </w:hyperlink>
            <w:r>
              <w:t xml:space="preserve">; neither has reported additive efficacy.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Efficacy is Phase 2 induction in patients (not head-to-head — endpoints, populations and trials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2560"/>
        <w:gridCol w:w="12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route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 / CD Ph2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(Prometheus)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 (+Dx)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26%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(Teva)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 / 43%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(Telavant)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30-35%*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 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 (FutureGen)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(/Pfizer)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 data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bisp, SC (LA)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120"/>
      </w:pPr>
      <w:r>
        <w:rPr>
          <w:sz w:val="15"/>
          <w:szCs w:val="15"/>
        </w:rPr>
        <w:t xml:space="preserve">*</w:t>
      </w:r>
      <w:r>
        <w:rPr>
          <w:color w:val="64748B"/>
          <w:sz w:val="15"/>
          <w:szCs w:val="15"/>
        </w:rPr>
        <w:t xml:space="preserve">afimkibart modified-Mayo secondary. </w:t>
      </w:r>
      <w:r>
        <w:rPr>
          <w:b/>
          <w:bCs/>
        </w:rPr>
        <w:t xml:space="preserve">The afimkibart 'miss', read correctly: </w:t>
      </w:r>
      <w:r>
        <w:t xml:space="preserve">TUSCANY-2's </w:t>
      </w:r>
      <w:r>
        <w:rPr>
          <w:b/>
          <w:bCs/>
        </w:rPr>
        <w:t xml:space="preserve">primary</w:t>
      </w:r>
      <w:r>
        <w:t xml:space="preserve"> (total Mayo) was not significant (26/23/24% vs 12%), but its </w:t>
      </w:r>
      <w:r>
        <w:rPr>
          <w:b/>
          <w:bCs/>
        </w:rPr>
        <w:t xml:space="preserve">secondary</w:t>
      </w:r>
      <w:r>
        <w:t xml:space="preserve"> using the modified Mayo — the endpoint tulisokibart, duvakitug and the FDA now use — </w:t>
      </w:r>
      <w:hyperlink w:history="1" r:id="rIdvotkkqeud-dbugfomxs6d">
        <w:r>
          <w:rPr>
            <w:rStyle w:val="Hyperlink"/>
          </w:rPr>
          <w:t xml:space="preserve">was significant (30/35/32% vs 12%)</w:t>
        </w:r>
      </w:hyperlink>
      <w:r>
        <w:t xml:space="preserve">. The mechanism did not fail; endpoint choice decided how the trial read, and afimkibart's efficacy sits in the same band as its peers. Roche is continuing development.</w:t>
      </w:r>
    </w:p>
    <w:p>
      <w:pPr>
        <w:pStyle w:val="Heading2"/>
      </w:pPr>
      <w:r>
        <w:t xml:space="preserve">Pharmacokinetics, format &amp; dosing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1150"/>
        <w:gridCol w:w="511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5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dosing note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Fc/FcRn-engineered anti-TL1A; supports ~Q12W — the format benchmark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half-life-extended mAb; infrequent SC maintenance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induction + maintenance — a payer/convenience disadvantage; carries a genetic CDx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human PK; full IgG-like dual-targeting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IV; shortest half-life of the group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MT-251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pH-sensitive binding + FcRn recycling, engineered for quarterly-plus dosing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Efficacy and stage leadership currently sit with IV agents; the format frontier is long-acting SC. An asset combining additive efficacy with XmAb942-class half-life and SC delivery would lead on both — a profile none has shown.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Biomarker direction worth considering. </w:t>
            </w:r>
            <w:r>
              <w:t xml:space="preserve">High mucosal OSM is associated with non-response to anti-TNF and single-cytokine blockade</w:t>
            </w:r>
            <w:r>
              <w:t xml:space="preserve"/>
            </w:r>
            <w:r>
              <w:t xml:space="preserve">; it is a rational selection marker for the escape population a TL1A monotherapy leaves behind, and a way a dual-blockade asset could define and own a segment a CDx-enriched monotherapy excludes. This is a hypothesis the biology supports, not a validated companion diagnostic.</w:t>
            </w:r>
          </w:p>
        </w:tc>
      </w:tr>
    </w:tbl>
    <w:p>
      <w:pPr>
        <w:pStyle w:val="Heading1"/>
      </w:pPr>
      <w:r>
        <w:t xml:space="preserve">5 · Alternative mechanisms &amp; the broader competition</w:t>
      </w:r>
    </w:p>
    <w:p>
      <w:pPr>
        <w:spacing w:after="120"/>
      </w:pPr>
      <w:r>
        <w:t xml:space="preserve">A TL1A/IL-23 asset competes in two arenas. </w:t>
      </w:r>
      <w:r>
        <w:rPr>
          <w:b/>
          <w:bCs/>
        </w:rPr>
        <w:t xml:space="preserve">Target space</w:t>
      </w:r>
      <w:r>
        <w:t xml:space="preserve"> is the other TL1A and TL1A×IL-23 programs above. </w:t>
      </w:r>
      <w:r>
        <w:rPr>
          <w:b/>
          <w:bCs/>
        </w:rPr>
        <w:t xml:space="preserve">Indication space</w:t>
      </w:r>
      <w:r>
        <w:t xml:space="preserve"> is the </w:t>
      </w:r>
      <w:hyperlink w:history="1" r:id="rIdrrsw0s_sym8flbmwsn-a2">
        <w:r>
          <w:rPr>
            <w:rStyle w:val="Hyperlink"/>
          </w:rPr>
          <w:t xml:space="preserve">full IBD armamentarium</w:t>
        </w:r>
      </w:hyperlink>
      <w:r>
        <w:t xml:space="preserve"> a prescriber and payer choose among — and it is increasingly oral.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 TL1A×IL-23 bispecific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Anti-TNF (+biosimilar)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infliximab, adalimumab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approved, cheap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payer-preferred 1L on cost; the price floor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Anti-integrin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vedolizumab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gut-selective, clean safety; strong in UC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IL-12/23 · IL-23p19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ustekinumab; risankizumab, mirikizumab, guselkumab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efficacy/safety benchmark the bispecific must beat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JAK1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upadacitinib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UC+CD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 efficacy but class black-box (infection/MACE/VTE/malignancy)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S1P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etrasimod, ozanimod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convenient oral; modest efficacy, crowded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TYK2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deucravacitinib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without the JAK box — a rising convenience threat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Other oral / novel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obefazimod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late-stage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entrants reset the convenience bar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Oral small molecules (JAK, S1P, TYK2) and cheap anti-TNF biosimilars mean a quarterly subcutaneous bispecific must justify itself on </w:t>
      </w:r>
      <w:r>
        <w:rPr>
          <w:b/>
          <w:bCs/>
        </w:rPr>
        <w:t xml:space="preserve">efficacy and durability</w:t>
      </w:r>
      <w:r>
        <w:t xml:space="preserve">, not convenience alone — a daily pill is hard to beat on patient preference.</w:t>
      </w:r>
      <w:r>
        <w:t xml:space="preserve"/>
      </w:r>
      <w:r>
        <w:t xml:space="preserve"> The strategic read for the dual-blockade thesis: its defensible claim is </w:t>
      </w:r>
      <w:r>
        <w:rPr>
          <w:b/>
          <w:bCs/>
        </w:rPr>
        <w:t xml:space="preserve">depth and durability of remission</w:t>
      </w:r>
      <w:r>
        <w:t xml:space="preserve"> an oral cannot match, in the refractory population where orals and single-pathway biologics have failed. Adjacent novel targets (e.g., next-generation alarmin and stromal pathways) are emerging but earlier; none yet displaces the TL1A+IL-23 rationale, though they belong on the watch list as the field expands.</w:t>
      </w:r>
    </w:p>
    <w:p>
      <w:pPr>
        <w:spacing w:after="120"/>
      </w:pPr>
      <w:r>
        <w:rPr>
          <w:b/>
          <w:bCs/>
        </w:rPr>
        <w:t xml:space="preserve">Sizing the prize and the threat (TD Cowen). </w:t>
      </w:r>
      <w:r>
        <w:t xml:space="preserve">IBD therapeutics are ~$30.7B (2024) growing to ~$41.9B (2030), with AbbVie extending from ~31% to ~44% share via Rinvoq + Skyrizi. Rinvoq (oral JAK) alone is projected at ~$3.7B in IBD by 2027, already capturing ~50% of new Crohn's and ~33% of new UC starts — the oral is taking major share now, which sets the efficacy/durability bar a quarterly injectable must beat.</w:t>
      </w:r>
    </w:p>
    <w:p>
      <w:pPr>
        <w:pStyle w:val="Heading1"/>
      </w:pPr>
      <w:r>
        <w:t xml:space="preserve">6 · Safety &amp; immunogenicity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IL-23p19 arm: </w:t>
      </w:r>
      <w:r>
        <w:t xml:space="preserve">the approved class (risankizumab, mirikizumab, guselkumab) shows low serious-infection rates and no malignancy signal — cleaner than anti-TNF or JAK.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Immunogenicity is the bispecific battleground. </w:t>
      </w:r>
      <w:r>
        <w:t xml:space="preserve">Spyre management has publicly characterized first-generation TL1A bispecifics as showing unfavorable immunogenicity, while XmAb942 (anti-TL1A) reports no anti-drug antibodies to date. Clean immunogenicity is therefore both a key technical risk for a bispecific and a concrete, named differentiation target.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TL1A arm: </w:t>
      </w:r>
      <w:r>
        <w:t xml:space="preserve">through </w:t>
      </w:r>
      <w:hyperlink w:history="1" r:id="rIdd1-q3lbixuzlprsimawaw">
        <w:r>
          <w:rPr>
            <w:rStyle w:val="Hyperlink"/>
          </w:rPr>
          <w:t xml:space="preserve">50 weeks in ARTEMIS-UC</w:t>
        </w:r>
      </w:hyperlink>
      <w:r>
        <w:t xml:space="preserve">, tulisokibart showed no new safety signals — infections upper-respiratory-predominant (37%/46% at Wk50), no serious infections, no infection discontinuations.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open question: </w:t>
      </w:r>
      <w:r>
        <w:t xml:space="preserve">whether simultaneous TL1A + IL-23 blockade raises infection risk beyond either alone — no human dual-blockade dataset exists yet; it is a primary focus of a partner's diligence.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~mid-2026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resets the monospecific induction bar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confirms the Ph2 signal at Ph3 scale; sets the bar a bispecific must beat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2026-2027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direct tests of additive efficacy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~late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70-80% clean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de-risks the anti-TL1A arm</w:t>
            </w:r>
          </w:p>
        </w:tc>
      </w:tr>
    </w:tbl>
    <w:p>
      <w:pPr>
        <w:spacing w:after="120"/>
      </w:pPr>
      <w:r>
        <w:rPr>
          <w:b/>
          <w:bCs/>
        </w:rPr>
        <w:t xml:space="preserve">ATLAS-UC ~70%, decomposed: </w:t>
      </w:r>
      <w:r>
        <w:t xml:space="preserve">~50% base for a Ph2-positive program confirming at Ph3; +20 (clear Ph2 effect, established mechanism); +15 (Merck execution + biomarker enrichment); −10 (Ph2→Ph3 effect-size shrinkage in IBD); −5 (biomarker-stratified ~1,000-patient operational complexity).</w:t>
      </w:r>
    </w:p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Payers set realized value; they decide which agent is reimbursed and at what step. What moves a payer in IBD: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 therapy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biosimilar is required first on cost; a new agent must clear that hurdle and justify a premium over a generic-priced incumbent.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 bar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minimum ~&gt;30-35% clinical remission vs placebo; preferred placement needs &gt;50% at Week 52 with mucosal healing — i.e., durable deep remission, not just induction.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risankizumab/mirikizumab (IL-23p19) and upadacitinib; a bispecific must show a remission or durability edge to win formulary preference.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Q8-Q12W with a prefilled pen and home self-injection lowers total cost vs IV infusion (site-of-care fees) — a real economic differentiator.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placement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 is highest if the agent earns earlier placement; payers gate this on head-to-head or strong indirect-comparison evidence.</w:t>
            </w:r>
          </w:p>
        </w:tc>
      </w:tr>
    </w:tbl>
    <w:p>
      <w:pPr>
        <w:spacing w:after="120"/>
      </w:pPr>
      <w:r>
        <w:rPr>
          <w:b/>
          <w:bCs/>
        </w:rPr>
        <w:t xml:space="preserve">Price anchors (Wedbush Rx tracker). </w:t>
      </w:r>
      <w:r>
        <w:t xml:space="preserve">The IL-23 class lists at roughly $7.5-10k/month — Skyrizi ~$7,488, Tremfya ~$7,646, Stelara ~$8,700, Omvoh ~$9,946; S1P orals are cheaper (etrasimod ~$6,123, ozanimod ~$9,609), anti-TNF ~$6-7k (Humira ~$7,271). A new agent is priced into this band and judged on net cost after rebates. A Spyre patient survey found a ~60/40 preference for a quarterly injectable over a once-daily oral in IBD — a data point that supports the SC-bispecific value case on both cost-of-care and patient preference.</w:t>
      </w:r>
    </w:p>
    <w:p>
      <w:pPr>
        <w:spacing w:after="120"/>
      </w:pPr>
      <w:r>
        <w:rPr>
          <w:b/>
          <w:bCs/>
        </w:rPr>
        <w:t xml:space="preserve">Implication. </w:t>
      </w:r>
      <w:r>
        <w:t xml:space="preserve">A TL1A×IL-23 bispecific's payer case is built on durable deep remission in the refractory population plus an SC convenience/cost advantage over IV incumbents — and it must answer the comparison to cheap anti-TNF biosimilars and convenient orals, not only to other TL1A assets.</w:t>
      </w:r>
      <w:r>
        <w:t xml:space="preserve"/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Merck-Prometheus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Dx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ceiling for de-risked anti-TL1A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Roche-Telavant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$7.1B*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US+Japan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Teva-Sanofi (duvakitug)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$500M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50/50 cost &amp; profit, royalties elsewhere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Sanofi-Earendil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$125M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~$2.5B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 floor</w:t>
            </w:r>
          </w:p>
        </w:tc>
      </w:tr>
    </w:tbl>
    <w:p>
      <w:pPr>
        <w:spacing w:after="120"/>
      </w:pPr>
      <w:r>
        <w:t xml:space="preserve">These anchor a TL1A/IL-23 asset's value.</w:t>
      </w:r>
      <w:r>
        <w:t xml:space="preserve"/>
      </w:r>
      <w:r>
        <w:t xml:space="preserve"/>
      </w:r>
      <w:r>
        <w:t xml:space="preserve"> Value is not a single number — the same first-efficacy event earns very different multiples by the surrounding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first additive-efficacy signal)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+ clean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convenience/safety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infection or immunogenicity signal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CMC / manufacturing problems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the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a crowded monospecific-adjacent asset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The TL1A×IL-23 bispecific field is disproportionately China-originated — LaNova (LQ080, out-licensed ex-China to Zymeworks), Simcere (SIM0709, to Boehringer Ingelheim), plus NovaMab, Elpiscience, Biocad and Qyuns. The recurring deal pattern is a Western pharma licensing-in a China-originated bispecific. Competitive sets and likely acquirers are global; Western-quality data packages and clear IP convert a China-originated molecule into a premium transaction.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first bispecific signal)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increases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bispecific thesis weakened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toward dual blockade; largest upside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class-wide doubt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If the first bispecific reads show no additive efficacy and ATLAS-UC succeeds (tulisokibart becomes standard of care), a bispecific that does not beat a single antibody has no buyer, and a preclinical entrant's value approaches zero. The defense is a clinical design that reads additive efficacy early and cheaply (a focused Ph1b), so a program can stop or pivot before committing Phase 2 capital.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preclinical and CMC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engagement additive in primate; half-life supporting ~Q12W SC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cytokine-release signal from simultaneous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vs a low-ADA mAb; PK/efficacy impact modeled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 timeline; titer (g/L); CDMO vs in-house;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cleared vs the earlier TL1A estate</w:t>
            </w:r>
          </w:p>
        </w:tc>
      </w:tr>
    </w:tbl>
    <w:p>
      <w:pPr>
        <w:pStyle w:val="Heading1"/>
      </w:pPr>
      <w:r>
        <w:t xml:space="preserve">13 · Standing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(range)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its primary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Q4 2026 – Q1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TL1A×IL-23p19 bispecific human efficacy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p19-bispecific deal: total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(≥$1.5B ~70%)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2028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major licenses-in a China-origin bispecific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50-60%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ojgpmasptdhyug2w-lzz" Type="http://schemas.openxmlformats.org/officeDocument/2006/relationships/hyperlink" Target="https://www.biospace.com/prometheus-biosciences-announces-positive-results-for-pra023-in-both-artemis-uc-phase-2-and-apollo-cd-phase-2a-studies-enabling-pathway-to-both-first-in-class-and-best-in-class-anti-tl1a-mab" TargetMode="External"/><Relationship Id="rIdeu860qkkf0acsdzkcnrvn" Type="http://schemas.openxmlformats.org/officeDocument/2006/relationships/hyperlink" Target="https://gi.org/journals-publications/ebgi/kochar_dec2024/" TargetMode="External"/><Relationship Id="rIdlfthahvkpepxgwvplglbm" Type="http://schemas.openxmlformats.org/officeDocument/2006/relationships/hyperlink" Target="https://www.crohnscolitisfoundation.org/what-is-ibd/facts-stats" TargetMode="External"/><Relationship Id="rIdknjrm8ka7ojpj0g2f4sqz" Type="http://schemas.openxmlformats.org/officeDocument/2006/relationships/hyperlink" Target="https://www.crohnscolitisfoundation.org/what-is-ibd/facts-stats" TargetMode="External"/><Relationship Id="rIda4qcnj3jnlb7wneasoojb" Type="http://schemas.openxmlformats.org/officeDocument/2006/relationships/hyperlink" Target="https://www.nejm.org/doi/abs/10.1056/NEJMoa2314076" TargetMode="External"/><Relationship Id="rIdw694dwcxr0hgicrm46xae" Type="http://schemas.openxmlformats.org/officeDocument/2006/relationships/hyperlink" Target="https://www.nejm.org/doi/full/10.1056/NEJMoa2207940" TargetMode="External"/><Relationship Id="rIdqy8wv_w33-anpqrny6v1u" Type="http://schemas.openxmlformats.org/officeDocument/2006/relationships/hyperlink" Target="https://clinicaltrials.gov/study/NCT06979336" TargetMode="External"/><Relationship Id="rIdvotkkqeud-dbugfomxs6d" Type="http://schemas.openxmlformats.org/officeDocument/2006/relationships/hyperlink" Target="https://www.thelancet.com/journals/langas/article/PIIS2468-1253(25)00129-3/abstract" TargetMode="External"/><Relationship Id="rIdrrsw0s_sym8flbmwsn-a2" Type="http://schemas.openxmlformats.org/officeDocument/2006/relationships/hyperlink" Target="https://www.frontiersin.org/journals/gastroenterology/articles/10.3389/fgstr.2026.1747118/full" TargetMode="External"/><Relationship Id="rIdd1-q3lbixuzlprsimawaw" Type="http://schemas.openxmlformats.org/officeDocument/2006/relationships/hyperlink" Target="https://academic.oup.com/ecco-jcc/article/19/Supplement_1/i1158/7967681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2026-06-08T22:31:52.578Z</dcterms:created>
  <dcterms:modified xsi:type="dcterms:W3CDTF">2026-06-08T22:31:52.582Z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