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F8F" w:val="clear"/>
        <w:spacing w:after="0"/>
      </w:pPr>
      <w:r>
        <w:rPr>
          <w:b/>
          <w:bCs/>
          <w:color w:val="FFFFFF"/>
          <w:sz w:val="16"/>
          <w:szCs w:val="16"/>
        </w:rPr>
        <w:t xml:space="preserve">  ◆ THE MERIDIAN · AREA INTELLIGENCE BRIEF</w:t>
      </w:r>
      <w:r>
        <w:rPr>
          <w:color w:val="D7E3F5"/>
          <w:sz w:val="13"/>
          <w:szCs w:val="13"/>
        </w:rPr>
        <w:t xml:space="preserve">                                                                                  June 8, 2026</w:t>
      </w:r>
    </w:p>
    <w:p>
      <w:pPr>
        <w:shd w:fill="1A3F8F" w:val="clear"/>
        <w:spacing w:after="40" w:before="30"/>
      </w:pPr>
      <w:r>
        <w:rPr>
          <w:b/>
          <w:bCs/>
          <w:color w:val="FFFFFF"/>
          <w:sz w:val="29"/>
          <w:szCs w:val="29"/>
        </w:rPr>
        <w:t xml:space="preserve">  TL1A × IL-23p19 in IBD</w:t>
      </w:r>
    </w:p>
    <w:p>
      <w:pPr>
        <w:spacing w:after="60" w:before="70"/>
      </w:pPr>
      <w:r>
        <w:rPr>
          <w:i/>
          <w:iCs/>
        </w:rPr>
        <w:t xml:space="preserve">Where value is created across the TL1A / IL-23 landscape in ulcerative colitis and Crohn's disease — from patient need and the competing armamentarium through the biology and economics to the deal. Footnotes and linked terms open the primary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~1.7M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US IBD patients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$15B+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IBD market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40-50%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fail therapy / 5 yrs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15-20%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deep-remission ceiling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6+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mechanism classes in use</w:t>
            </w:r>
          </w:p>
        </w:tc>
      </w:tr>
    </w:tbl>
    <w:p>
      <w:pPr>
        <w:pStyle w:val="Heading1"/>
      </w:pPr>
      <w:r>
        <w:t xml:space="preserve">The landscape in brief</w:t>
      </w:r>
    </w:p>
    <w:p>
      <w:pPr>
        <w:spacing w:after="120"/>
      </w:pPr>
      <w:r>
        <w:t xml:space="preserve">Four anti-TL1A monotherapies are in Phase 3: </w:t>
      </w:r>
      <w:r>
        <w:rPr>
          <w:b/>
          <w:bCs/>
        </w:rPr>
        <w:t xml:space="preserve">tulisokibart</w:t>
      </w:r>
      <w:r>
        <w:t xml:space="preserve"> (Merck), </w:t>
      </w:r>
      <w:r>
        <w:rPr>
          <w:b/>
          <w:bCs/>
        </w:rPr>
        <w:t xml:space="preserve">afimkibart</w:t>
      </w:r>
      <w:r>
        <w:t xml:space="preserve"> (Roche), </w:t>
      </w:r>
      <w:r>
        <w:rPr>
          <w:b/>
          <w:bCs/>
        </w:rPr>
        <w:t xml:space="preserve">duvakitug</w:t>
      </w:r>
      <w:r>
        <w:t xml:space="preserve"> (Sanofi/Teva), and </w:t>
      </w:r>
      <w:r>
        <w:rPr>
          <w:b/>
          <w:bCs/>
        </w:rPr>
        <w:t xml:space="preserve">SPY002</w:t>
      </w:r>
      <w:r>
        <w:t xml:space="preserve"> (Spyre) in Phase 2. Anti-TL1A is clinically validated but not yet approved. The unresolved question is whether combining TL1A blockade with IL-23p19 blockade in a single molecule produces </w:t>
      </w:r>
      <w:r>
        <w:rPr>
          <w:b/>
          <w:bCs/>
        </w:rPr>
        <w:t xml:space="preserve">additive</w:t>
      </w:r>
      <w:r>
        <w:t xml:space="preserve"> efficacy beyond the best monotherapy; no bispecific has reported a human efficacy readout. A first additive-efficacy result, paired with a manufacturable long-acting subcutaneous profile and a clean safety dataset, enters a deal range set by </w:t>
      </w:r>
      <w:hyperlink w:history="1" r:id="rIdws_i80vfj1ug25ghfjqqe">
        <w:r>
          <w:rPr>
            <w:rStyle w:val="Hyperlink"/>
          </w:rPr>
          <w:t xml:space="preserve">Merck's $10.8B purchase of Prometheus and Roche's $7.1B purchase of Telavant</w:t>
        </w:r>
      </w:hyperlink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State of validation: </w:t>
            </w:r>
            <w:r>
              <w:t xml:space="preserve">IL-23p19 monotherapy is approved and durable in IBD; TL1A monotherapy is validated in Phase 2 and in Phase 3; the dual-mechanism bispecific is unproven and, in the clinic, uncrowded. The opportunity is the gap between today's ~15-20% deep-remission ceiling and the 30-40% dual blockade is hypothesized to reach.</w:t>
            </w:r>
          </w:p>
        </w:tc>
      </w:tr>
    </w:tbl>
    <w:p>
      <w:pPr>
        <w:pStyle w:val="Heading1"/>
      </w:pPr>
      <w:r>
        <w:t xml:space="preserve">What determines value here</w:t>
      </w:r>
    </w:p>
    <w:p>
      <w:pPr>
        <w:spacing w:after="120"/>
      </w:pPr>
      <w:r>
        <w:t xml:space="preserve">The axes on which any TL1A/IL-23 asset is judged, stated as specifics rather than principles: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1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Axis</w:t>
            </w:r>
          </w:p>
        </w:tc>
        <w:tc>
          <w:tcPr>
            <w:tcW w:type="dxa" w:w="72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Specifics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Additive efficacy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must beat the best monospecific (duvakitug 37% UC, 43% CD); target engagement is ~90% yet remission is ~26% — engagement alone does not deliver remission. Several open questions sit under this, incl. durability and CD vs UC effect.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Format &amp; dosing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long-acting SC (≈Q12W; XmAb942 ~74-day t½) vs IV infusion (tulisokibart, duvakitug); SC pen + no infusion center is the payer-preferred profile (see Payer).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Line of therapy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entry is bio-experienced / multi-refractory; value rises with movement earlier in the sequence (see Lines of therapy).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Biomarker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companion diagnostic enriches responders (tulisokibart 32% vs 26% with its genetic test) or defines the escape segment (OSM-high) a monotherapy leaves behind.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Evidence bundle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 (esp. infection in dual immunosuppression), immunogenicity, and CMC (bispecific = very-high complexity) move the deal multiple as much as the remission number.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Competitive set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competition is both target-space (other TL1A/IL-23 assets) and indication-space (JAK, S1P, TYK2 orals; anti-TNF biosimilars) — see Alternative mechanisms.</w:t>
            </w:r>
          </w:p>
        </w:tc>
      </w:tr>
    </w:tbl>
    <w:p>
      <w:pPr>
        <w:spacing w:after="120"/>
      </w:pPr>
      <w:r>
        <w:rPr>
          <w:b/>
          <w:bCs/>
        </w:rPr>
        <w:t xml:space="preserve">Field view. </w:t>
      </w:r>
      <w:r>
        <w:t xml:space="preserve">Independent commentary (</w:t>
      </w:r>
      <w:hyperlink w:history="1" r:id="rIdyw-i2zk5yjcmk4nd1ox0b">
        <w:r>
          <w:rPr>
            <w:rStyle w:val="Hyperlink"/>
          </w:rPr>
          <w:t xml:space="preserve">ACG review, 2024</w:t>
        </w:r>
      </w:hyperlink>
      <w:r>
        <w:t xml:space="preserve">) describes anti-TL1A as a credible new class while noting remission rates remain modest and durability and positioning are unproven</w:t>
      </w:r>
      <w:r>
        <w:t xml:space="preserve"/>
      </w:r>
      <w:r>
        <w:t xml:space="preserve"> — the case for a mechanism that lifts the efficacy ceiling rather than adding another single-pathway option.</w:t>
      </w:r>
    </w:p>
    <w:p>
      <w:pPr>
        <w:pStyle w:val="Heading1"/>
      </w:pPr>
      <w:r>
        <w:t xml:space="preserve">1 · Patient &amp; disease (UC and CD)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350"/>
        <w:gridCol w:w="1350"/>
        <w:gridCol w:w="4610"/>
      </w:tblGrid>
      <w:tr>
        <w:trPr>
          <w:tblHeader/>
        </w:trPr>
        <w:tc>
          <w:tcPr>
            <w:tcW w:type="dxa" w:w="2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CD</w:t>
            </w:r>
          </w:p>
        </w:tc>
        <w:tc>
          <w:tcPr>
            <w:tcW w:type="dxa" w:w="46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 patients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~0.9-1.25M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~0.78M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~1.7M combined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SoC remission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~25%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~20-35%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deep remission 15-20% either disease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Surgical endpoint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colectomy (~150-200K)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resection (~80% / 20 yrs)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CD also: fistulizing ~30%, transmural healing &lt;10%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Distinct challenge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mucosal disease, endoscopic healing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stricturing/fibrosis, perianal/fistulizing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TL1A's fibro-stromal role is most relevant in CD</w:t>
            </w:r>
          </w:p>
        </w:tc>
      </w:tr>
    </w:tbl>
    <w:p>
      <w:pPr>
        <w:spacing w:after="120"/>
      </w:pPr>
      <w:r>
        <w:t xml:space="preserve">Both diseases share a </w:t>
      </w:r>
      <w:r>
        <w:rPr>
          <w:b/>
          <w:bCs/>
        </w:rPr>
        <w:t xml:space="preserve">remission ceiling</w:t>
      </w:r>
      <w:r>
        <w:t xml:space="preserve">: the best agents reach ~15-20% deep remission and </w:t>
      </w:r>
      <w:hyperlink w:history="1" r:id="rIdpil8jd3lcvzynukzgq-wx">
        <w:r>
          <w:rPr>
            <w:rStyle w:val="Hyperlink"/>
          </w:rPr>
          <w:t xml:space="preserve">40-50% of patients fail or lose response within five years</w:t>
        </w:r>
      </w:hyperlink>
      <w:r>
        <w:t xml:space="preserve"> (secondary loss ~10-20%/yr). The diseases differ in what is unmet: UC turns on mucosal/endoscopic healing and the colectomy endpoint; CD adds fibrostenotic and fistulizing complications that no current agent durably resolves — and where TL1A's role in fibro-stromal remodeling is mechanistically most relevant. A dual-mechanism asset should be read against both.</w:t>
      </w:r>
    </w:p>
    <w:p>
      <w:pPr>
        <w:spacing w:after="120"/>
      </w:pPr>
      <w:r>
        <w:rPr>
          <w:b/>
          <w:bCs/>
        </w:rPr>
        <w:t xml:space="preserve">Why a bispecific. </w:t>
      </w:r>
      <w:r>
        <w:t xml:space="preserve">Anti-TL1A monotherapy leaves an IL-23-dependent Th17 escape route open (Section 3); IL-23p19 monotherapy leaves a non-overlapping Th1/IFN-γ route. One molecule covering both is the mechanism-level response to a ceiling single pathways have not broken — the same logic behind AbbVie pairing </w:t>
      </w:r>
      <w:r>
        <w:rPr>
          <w:b/>
          <w:bCs/>
        </w:rPr>
        <w:t xml:space="preserve">ABBV-701</w:t>
      </w:r>
      <w:r>
        <w:t xml:space="preserve"> (anti-TL1A) with </w:t>
      </w:r>
      <w:r>
        <w:rPr>
          <w:b/>
          <w:bCs/>
        </w:rPr>
        <w:t xml:space="preserve">SKYRIZI</w:t>
      </w:r>
      <w:r>
        <w:t xml:space="preserve"> (IL-23) as a two-drug regimen.</w:t>
      </w:r>
      <w:r>
        <w:t xml:space="preserve"/>
      </w:r>
    </w:p>
    <w:p>
      <w:pPr>
        <w:pStyle w:val="Heading1"/>
      </w:pPr>
      <w:r>
        <w:t xml:space="preserve">2 · Lines of therapy &amp; where TL1A/IL-23 sits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3905"/>
        <w:gridCol w:w="3905"/>
      </w:tblGrid>
      <w:tr>
        <w:trPr>
          <w:tblHeader/>
        </w:trPr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Line</w:t>
            </w:r>
          </w:p>
        </w:tc>
        <w:tc>
          <w:tcPr>
            <w:tcW w:type="dxa" w:w="3905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3905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Crohn's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1L conventional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5-ASA, corticosteroids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corticosteroids, immunomodulators (AZA/MTX)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2L advanced (entry)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(biosimilar, payer-preferred on cost), vedolizumab, ustekinumab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(infliximab/adalimumab), vedolizumab, ustekinumab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3L+ / refractory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IL-23p19 (risankizumab, mirikizumab), upadacitinib (JAK), S1P (etrasimod)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IL-23p19, upadacitinib; fistulizing CD largely unmet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TL1A/IL-23 likely entry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bio-experienced / multi-refractory, then earlier with data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bio-experienced; fibrostenotic/fistulizing is the white space</w:t>
            </w:r>
          </w:p>
        </w:tc>
      </w:tr>
    </w:tbl>
    <w:p>
      <w:pPr>
        <w:spacing w:after="120"/>
      </w:pPr>
      <w:r>
        <w:t xml:space="preserve">Step therapy and payer rules generally </w:t>
      </w:r>
      <w:hyperlink w:history="1" r:id="rIdfwv_ikdkepntuztpun1zx">
        <w:r>
          <w:rPr>
            <w:rStyle w:val="Hyperlink"/>
          </w:rPr>
          <w:t xml:space="preserve">force an anti-TNF biosimilar before newer advanced agents</w:t>
        </w:r>
      </w:hyperlink>
      <w:r>
        <w:t xml:space="preserve">, so a new mechanism enters in the </w:t>
      </w:r>
      <w:r>
        <w:rPr>
          <w:b/>
          <w:bCs/>
        </w:rPr>
        <w:t xml:space="preserve">biologic-experienced</w:t>
      </w:r>
      <w:r>
        <w:t xml:space="preserve"> population and earns earlier placement only with superior data. Addressable value therefore scales with how early in the sequence the asset can credibly move — and a bispecific's additive-efficacy claim is the lever that justifies moving up.</w:t>
      </w:r>
    </w:p>
    <w:p>
      <w:pPr>
        <w:pStyle w:val="Heading1"/>
      </w:pPr>
      <w:r>
        <w:t xml:space="preserve">3 · The scientific thesis</w:t>
      </w:r>
    </w:p>
    <w:p>
      <w:pPr>
        <w:pStyle w:val="Heading2"/>
      </w:pPr>
      <w:r>
        <w:t xml:space="preserve">Engagement vs efficacy</w:t>
      </w:r>
    </w:p>
    <w:p>
      <w:pPr>
        <w:spacing w:after="120"/>
      </w:pPr>
      <w:r>
        <w:t xml:space="preserve">Anti-TL1A antibodies achieve ~90% suppression of free soluble TL1A (tulisokibart ~90%, afimkibart ~92%), yet clinical remission is ~26%. In </w:t>
      </w:r>
      <w:hyperlink w:history="1" r:id="rIdwo5qbe14ms9rlgxf9foml">
        <w:r>
          <w:rPr>
            <w:rStyle w:val="Hyperlink"/>
          </w:rPr>
          <w:t xml:space="preserve">ARTEMIS-UC</w:t>
        </w:r>
      </w:hyperlink>
      <w:r>
        <w:t xml:space="preserve">, tulisokibart produced 26% remission vs 1% placebo at Week 12, and 32% vs 11% in a genetic-biomarker-selected subgroup.</w:t>
      </w:r>
      <w:r>
        <w:t xml:space="preserve"/>
      </w:r>
      <w:r>
        <w:t xml:space="preserve"> The antibody binds and neutralizes its target; the disease persists in roughly three-quarters of patients. Closing that gap is a problem the field has to solve.</w:t>
      </w:r>
    </w:p>
    <w:p>
      <w:pPr>
        <w:pStyle w:val="Heading2"/>
      </w:pPr>
      <w:r>
        <w:t xml:space="preserve">The escape pathway</w:t>
      </w:r>
    </w:p>
    <w:p>
      <w:pPr>
        <w:spacing w:after="120"/>
      </w:pPr>
      <w:r>
        <w:t xml:space="preserve">TL1A blockade leaves </w:t>
      </w:r>
      <w:r>
        <w:rPr>
          <w:b/>
          <w:bCs/>
        </w:rPr>
        <w:t xml:space="preserve">IL-23-dependent Th17 activation</w:t>
      </w:r>
      <w:r>
        <w:t xml:space="preserve"> and epithelial-restitution failure untouched. Anti-TL1A non-responders escape predominantly through Th17 routes; anti-IL-23 non-responders escape through Th1 / IL-12-independent IFN-γ — two largely non-overlapping maps. Afimkibart's serum proteomics show the converse: it downregulates Th17, myeloid and fibrotic pathways</w:t>
      </w:r>
      <w:r>
        <w:t xml:space="preserve"/>
      </w:r>
      <w:r>
        <w:t xml:space="preserve">, confirming TL1A's fibrotic reach and where a second mechanism remains needed.</w:t>
      </w:r>
    </w:p>
    <w:p>
      <w:pPr>
        <w:pStyle w:val="Heading2"/>
      </w:pPr>
      <w:r>
        <w:t xml:space="preserve">Why IL-23p19, and what is already proven</w:t>
      </w:r>
    </w:p>
    <w:p>
      <w:pPr>
        <w:spacing w:after="120"/>
      </w:pPr>
      <w:r>
        <w:t xml:space="preserve">IL-23p19 closes the Th17 route while preserving IL-12/Th1 immunity (unlike p40), and </w:t>
      </w:r>
      <w:r>
        <w:rPr>
          <w:b/>
          <w:bCs/>
        </w:rPr>
        <w:t xml:space="preserve">it is already validated in IBD</w:t>
      </w:r>
      <w:r>
        <w:t xml:space="preserve">: mirikizumab (Omvoh) approved UC 2023 and CD 2025 with </w:t>
      </w:r>
      <w:hyperlink w:history="1" r:id="rId_l6_pgfjx_cgbxdi7m4ui">
        <w:r>
          <w:rPr>
            <w:rStyle w:val="Hyperlink"/>
          </w:rPr>
          <w:t xml:space="preserve">four-year durability</w:t>
        </w:r>
      </w:hyperlink>
      <w:r>
        <w:t xml:space="preserve">, risankizumab (Skyrizi) approved CD and UC, guselkumab approved. Of the two arms, IL-23p19 is fully de-risked, TL1A is partially de-risked (positive Phase 2, in Phase 3, not approved), and the combination is the only unproven element. The remaining work is the additive-efficacy readout, not validation of either pathway.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Testable conclusion. </w:t>
            </w:r>
            <w:r>
              <w:t xml:space="preserve">If the engagement-to-remission gap is driven by a non-overlapping IL-23-dependent escape route, dual blockade should convert engagement into remission — the 30-40% deep-remission hypothesis. It is falsifiable: if dual blockade does not beat the best monospecific, the thesis fails. </w:t>
            </w:r>
            <w:r>
              <w:t xml:space="preserve">RO7837195 (p40×TL1A) and MT-251 are the </w:t>
            </w:r>
            <w:hyperlink w:history="1" r:id="rId6sv5uy3do_uld4fhdsb5e">
              <w:r>
                <w:rPr>
                  <w:rStyle w:val="Hyperlink"/>
                </w:rPr>
                <w:t xml:space="preserve">first programs positioned to test it</w:t>
              </w:r>
            </w:hyperlink>
            <w:r>
              <w:t xml:space="preserve">; neither has reported additive efficacy.</w:t>
            </w:r>
          </w:p>
        </w:tc>
      </w:tr>
    </w:tbl>
    <w:p>
      <w:pPr>
        <w:pStyle w:val="Heading1"/>
      </w:pPr>
      <w:r>
        <w:t xml:space="preserve">4 · Competition &amp; data</w:t>
      </w:r>
    </w:p>
    <w:p>
      <w:pPr>
        <w:spacing w:after="120"/>
      </w:pPr>
      <w:r>
        <w:t xml:space="preserve">Owner first; originator in parentheses. Bold rows are TL1A×IL-23 bispecifics. Efficacy is Phase 2 induction in patients (not head-to-head — endpoints, populations and trials differ).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000"/>
        <w:gridCol w:w="2560"/>
        <w:gridCol w:w="1200"/>
        <w:gridCol w:w="1200"/>
      </w:tblGrid>
      <w:tr>
        <w:trPr>
          <w:tblHeader/>
        </w:trPr>
        <w:tc>
          <w:tcPr>
            <w:tcW w:type="dxa" w:w="1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 (originator)</w:t>
            </w:r>
          </w:p>
        </w:tc>
        <w:tc>
          <w:tcPr>
            <w:tcW w:type="dxa" w:w="1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25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Format / route</w:t>
            </w:r>
          </w:p>
        </w:tc>
        <w:tc>
          <w:tcPr>
            <w:tcW w:type="dxa" w:w="12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 / CD Ph2</w:t>
            </w:r>
          </w:p>
        </w:tc>
        <w:tc>
          <w:tcPr>
            <w:tcW w:type="dxa" w:w="12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Src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Merck (Prometheus)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IV (+Dx)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26% / 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duvakitug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Sanofi (Teva)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IV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37% / 43%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afimkibart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(Telavant)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SC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30-35%* / 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SPY002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Spyre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HLE anti-TL1A mAb, SC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ABBV-701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AbbVie (FutureGen)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 (mono)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RO7837195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(/Pfizer)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IL-23p40×TL1A bisp, SC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bisp data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MT-251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Mirador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 bisp, SC (LA)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XmAb412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Xencor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Precl.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TL1A×IL-23p19 bisp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spacing w:after="120"/>
      </w:pPr>
      <w:r>
        <w:rPr>
          <w:sz w:val="15"/>
          <w:szCs w:val="15"/>
        </w:rPr>
        <w:t xml:space="preserve">*</w:t>
      </w:r>
      <w:r>
        <w:rPr>
          <w:color w:val="64748B"/>
          <w:sz w:val="15"/>
          <w:szCs w:val="15"/>
        </w:rPr>
        <w:t xml:space="preserve">afimkibart modified-Mayo secondary. </w:t>
      </w:r>
      <w:r>
        <w:rPr>
          <w:b/>
          <w:bCs/>
        </w:rPr>
        <w:t xml:space="preserve">The afimkibart 'miss', read correctly: </w:t>
      </w:r>
      <w:r>
        <w:t xml:space="preserve">TUSCANY-2's </w:t>
      </w:r>
      <w:r>
        <w:rPr>
          <w:b/>
          <w:bCs/>
        </w:rPr>
        <w:t xml:space="preserve">primary</w:t>
      </w:r>
      <w:r>
        <w:t xml:space="preserve"> (total Mayo) was not significant (26/23/24% vs 12%), but its </w:t>
      </w:r>
      <w:r>
        <w:rPr>
          <w:b/>
          <w:bCs/>
        </w:rPr>
        <w:t xml:space="preserve">secondary</w:t>
      </w:r>
      <w:r>
        <w:t xml:space="preserve"> using the modified Mayo — the endpoint tulisokibart, duvakitug and the FDA now use — </w:t>
      </w:r>
      <w:hyperlink w:history="1" r:id="rId31a4ldmkfbnwe3ozdnjj2">
        <w:r>
          <w:rPr>
            <w:rStyle w:val="Hyperlink"/>
          </w:rPr>
          <w:t xml:space="preserve">was significant (30/35/32% vs 12%)</w:t>
        </w:r>
      </w:hyperlink>
      <w:r>
        <w:t xml:space="preserve">. The mechanism did not fail; endpoint choice decided how the trial read, and afimkibart's efficacy sits in the same band as its peers. Roche is continuing development.</w:t>
      </w:r>
    </w:p>
    <w:p>
      <w:pPr>
        <w:pStyle w:val="Heading2"/>
      </w:pPr>
      <w:r>
        <w:t xml:space="preserve">Pharmacokinetics, format &amp; dosing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1150"/>
        <w:gridCol w:w="5110"/>
      </w:tblGrid>
      <w:tr>
        <w:trPr>
          <w:tblHeader/>
        </w:trPr>
        <w:tc>
          <w:tcPr>
            <w:tcW w:type="dxa" w:w="18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2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Half-life</w:t>
            </w:r>
          </w:p>
        </w:tc>
        <w:tc>
          <w:tcPr>
            <w:tcW w:type="dxa" w:w="1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51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Format / dosing note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XmAb942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~74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Fc/FcRn-engineered anti-TL1A; supports ~Q12W — the format benchmark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SPY002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~37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half-life-extended mAb; infrequent SC maintenance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tulisokibart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~27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 induction + maintenance — a payer/convenience disadvantage; carries a genetic CDx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RO7837195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bispecific human PK; full IgG-like dual-targeting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duvakitug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~14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IV; shortest half-life of the group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MT-251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long-acting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pH-sensitive binding + FcRn recycling, engineered for quarterly-plus dosing</w:t>
            </w:r>
          </w:p>
        </w:tc>
      </w:tr>
    </w:tbl>
    <w:p>
      <w:pPr>
        <w:spacing w:after="120"/>
      </w:pPr>
      <w:r>
        <w:rPr>
          <w:b/>
          <w:bCs/>
        </w:rPr>
        <w:t xml:space="preserve">Read. </w:t>
      </w:r>
      <w:r>
        <w:t xml:space="preserve">Efficacy and stage leadership currently sit with IV agents; the format frontier is long-acting SC. An asset combining additive efficacy with XmAb942-class half-life and SC delivery would lead on both — a profile none has shown.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Biomarker direction worth considering. </w:t>
            </w:r>
            <w:r>
              <w:t xml:space="preserve">High mucosal OSM is associated with non-response to anti-TNF and single-cytokine blockade</w:t>
            </w:r>
            <w:r>
              <w:t xml:space="preserve"/>
            </w:r>
            <w:r>
              <w:t xml:space="preserve">; it is a rational selection marker for the escape population a TL1A monotherapy leaves behind, and a way a dual-blockade asset could define and own a segment a CDx-enriched monotherapy excludes. This is a hypothesis the biology supports, not a validated companion diagnostic.</w:t>
            </w:r>
          </w:p>
        </w:tc>
      </w:tr>
    </w:tbl>
    <w:p>
      <w:pPr>
        <w:pStyle w:val="Heading1"/>
      </w:pPr>
      <w:r>
        <w:t xml:space="preserve">5 · Alternative mechanisms &amp; the broader competition</w:t>
      </w:r>
    </w:p>
    <w:p>
      <w:pPr>
        <w:spacing w:after="120"/>
      </w:pPr>
      <w:r>
        <w:t xml:space="preserve">A TL1A/IL-23 asset competes in two arenas. </w:t>
      </w:r>
      <w:r>
        <w:rPr>
          <w:b/>
          <w:bCs/>
        </w:rPr>
        <w:t xml:space="preserve">Target space</w:t>
      </w:r>
      <w:r>
        <w:t xml:space="preserve"> is the other TL1A and TL1A×IL-23 programs above. </w:t>
      </w:r>
      <w:r>
        <w:rPr>
          <w:b/>
          <w:bCs/>
        </w:rPr>
        <w:t xml:space="preserve">Indication space</w:t>
      </w:r>
      <w:r>
        <w:t xml:space="preserve"> is the </w:t>
      </w:r>
      <w:hyperlink w:history="1" r:id="rIdvq7s_btjwenjwxiyaiq3o">
        <w:r>
          <w:rPr>
            <w:rStyle w:val="Hyperlink"/>
          </w:rPr>
          <w:t xml:space="preserve">full IBD armamentarium</w:t>
        </w:r>
      </w:hyperlink>
      <w:r>
        <w:t xml:space="preserve"> a prescriber and payer choose among — and it is increasingly oral.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450"/>
        <w:gridCol w:w="371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2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  <w:tc>
          <w:tcPr>
            <w:tcW w:type="dxa" w:w="14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Position vs a TL1A×IL-23 bispecific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Anti-TNF (+biosimilar)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infliximab, adalimumab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approved, cheap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payer-preferred 1L on cost; the price floor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Anti-integrin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vedolizumab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gut-selective, clean safety; strong in UC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IL-12/23 · IL-23p19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ustekinumab; risankizumab, mirikizumab, guselkumab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efficacy/safety benchmark the bispecific must beat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JAK1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upadacitinib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 UC+CD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high efficacy but class black-box (infection/MACE/VTE/malignancy)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S1P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etrasimod, ozanimod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 UC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convenient oral; modest efficacy, crowded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TYK2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deucravacitinib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emerging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oral without the JAK box — a rising convenience threat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Other oral / novel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obefazimod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late-stage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oral entrants reset the convenience bar</w:t>
            </w:r>
          </w:p>
        </w:tc>
      </w:tr>
    </w:tbl>
    <w:p>
      <w:pPr>
        <w:spacing w:after="120"/>
      </w:pPr>
      <w:r>
        <w:rPr>
          <w:b/>
          <w:bCs/>
        </w:rPr>
        <w:t xml:space="preserve">Why this matters. </w:t>
      </w:r>
      <w:r>
        <w:t xml:space="preserve">Oral small molecules (JAK, S1P, TYK2) and cheap anti-TNF biosimilars mean a quarterly subcutaneous bispecific must justify itself on </w:t>
      </w:r>
      <w:r>
        <w:rPr>
          <w:b/>
          <w:bCs/>
        </w:rPr>
        <w:t xml:space="preserve">efficacy and durability</w:t>
      </w:r>
      <w:r>
        <w:t xml:space="preserve">, not convenience alone — a daily pill is hard to beat on patient preference.</w:t>
      </w:r>
      <w:r>
        <w:t xml:space="preserve"/>
      </w:r>
      <w:r>
        <w:t xml:space="preserve"> The strategic read for the dual-blockade thesis: its defensible claim is </w:t>
      </w:r>
      <w:r>
        <w:rPr>
          <w:b/>
          <w:bCs/>
        </w:rPr>
        <w:t xml:space="preserve">depth and durability of remission</w:t>
      </w:r>
      <w:r>
        <w:t xml:space="preserve"> an oral cannot match, in the refractory population where orals and single-pathway biologics have failed. Adjacent novel targets (e.g., next-generation alarmin and stromal pathways) are emerging but earlier; none yet displaces the TL1A+IL-23 rationale, though they belong on the watch list as the field expands.</w:t>
      </w:r>
    </w:p>
    <w:p>
      <w:pPr>
        <w:pStyle w:val="Heading1"/>
      </w:pPr>
      <w:r>
        <w:t xml:space="preserve">6 · Safety &amp; immunogenicity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IL-23p19 arm: </w:t>
      </w:r>
      <w:r>
        <w:t xml:space="preserve">the approved class (risankizumab, mirikizumab, guselkumab) shows low serious-infection rates and no malignancy signal — cleaner than anti-TNF or JAK.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TL1A arm: </w:t>
      </w:r>
      <w:r>
        <w:t xml:space="preserve">through </w:t>
      </w:r>
      <w:hyperlink w:history="1" r:id="rIdfpqacz8jlvvbcmhu29q_u">
        <w:r>
          <w:rPr>
            <w:rStyle w:val="Hyperlink"/>
          </w:rPr>
          <w:t xml:space="preserve">50 weeks in ARTEMIS-UC</w:t>
        </w:r>
      </w:hyperlink>
      <w:r>
        <w:t xml:space="preserve">, tulisokibart showed no new safety signals — infections upper-respiratory-predominant (37%/46% at Wk50), no serious infections, no infection discontinuations.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The open question: </w:t>
      </w:r>
      <w:r>
        <w:t xml:space="preserve">whether simultaneous TL1A + IL-23 blockade raises infection risk beyond either alone — no human dual-blockade dataset exists yet; it is the first endpoint a partner's diligence examines.</w:t>
      </w:r>
    </w:p>
    <w:p>
      <w:pPr>
        <w:pStyle w:val="Heading1"/>
      </w:pPr>
      <w:r>
        <w:t xml:space="preserve">7 · Catalysts &amp; forecasts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350"/>
        <w:gridCol w:w="1550"/>
        <w:gridCol w:w="3510"/>
      </w:tblGrid>
      <w:tr>
        <w:trPr>
          <w:tblHeader/>
        </w:trPr>
        <w:tc>
          <w:tcPr>
            <w:tcW w:type="dxa" w:w="29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Window</w:t>
            </w:r>
          </w:p>
        </w:tc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35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tests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SPY002 SKYLINE-UC Part A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~mid-2026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55-65% positive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resets the monospecific induction bar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 ATLAS-UC topline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~Q4 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65-75% positive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confirms the Ph2 signal at Ph3 scale; sets the bar a bispecific must beat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RO7837195 / MT-251 bispecific reads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2026-2027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data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first direct tests of additive efficacy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ABBV-701 Phase 1 readout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~late 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70-80% clean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de-risks the anti-TL1A arm</w:t>
            </w:r>
          </w:p>
        </w:tc>
      </w:tr>
    </w:tbl>
    <w:p>
      <w:pPr>
        <w:spacing w:after="120"/>
      </w:pPr>
      <w:r>
        <w:rPr>
          <w:b/>
          <w:bCs/>
        </w:rPr>
        <w:t xml:space="preserve">ATLAS-UC ~70%, decomposed: </w:t>
      </w:r>
      <w:r>
        <w:t xml:space="preserve">~50% base for a Ph2-positive program confirming at Ph3; +20 (clear Ph2 effect, established mechanism); +15 (Merck execution + biomarker enrichment); −10 (Ph2→Ph3 effect-size shrinkage in IBD); −5 (biomarker-stratified ~1,000-patient operational complexity).</w:t>
      </w:r>
    </w:p>
    <w:p>
      <w:pPr>
        <w:pStyle w:val="Heading1"/>
      </w:pPr>
      <w:r>
        <w:t xml:space="preserve">8 · Payer differentiation</w:t>
      </w:r>
    </w:p>
    <w:p>
      <w:pPr>
        <w:spacing w:after="120"/>
      </w:pPr>
      <w:r>
        <w:t xml:space="preserve">Payers, not prescribers, set realized value; they decide which agent is reimbursed and at what step. What moves a payer in IBD: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Lever</w:t>
            </w:r>
          </w:p>
        </w:tc>
        <w:tc>
          <w:tcPr>
            <w:tcW w:type="dxa" w:w="70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payers reward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Step therapy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biosimilar is required first on cost; a new agent must clear that hurdle and justify a premium over a generic-priced incumbent.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Efficacy bar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minimum ~&gt;30-35% clinical remission vs placebo; preferred placement needs &gt;50% at Week 52 with mucosal healing — i.e., durable deep remission, not just induction.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Comparative effectiveness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benchmarked against risankizumab/mirikizumab (IL-23p19) and upadacitinib; a bispecific must show a remission or durability edge to win formulary preference.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Dosing &amp; site of care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 Q8-Q12W with a prefilled pen and home self-injection lowers total cost vs IV infusion (site-of-care fees) — a real economic differentiator.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Line placement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value is highest if the agent earns earlier placement; payers gate this on head-to-head or strong indirect-comparison evidence.</w:t>
            </w:r>
          </w:p>
        </w:tc>
      </w:tr>
    </w:tbl>
    <w:p>
      <w:pPr>
        <w:spacing w:after="120"/>
      </w:pPr>
      <w:r>
        <w:rPr>
          <w:b/>
          <w:bCs/>
        </w:rPr>
        <w:t xml:space="preserve">Implication. </w:t>
      </w:r>
      <w:r>
        <w:t xml:space="preserve">A TL1A×IL-23 bispecific's payer case is built on durable deep remission in the refractory population plus an SC convenience/cost advantage over IV incumbents — and it must answer the comparison to cheap anti-TNF biosimilars and convenient orals, not only to other TL1A assets.</w:t>
      </w:r>
      <w:r>
        <w:t xml:space="preserve"/>
      </w:r>
    </w:p>
    <w:p>
      <w:pPr>
        <w:pStyle w:val="Heading1"/>
      </w:pPr>
      <w:r>
        <w:t xml:space="preserve">9 · Value &amp; deal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350"/>
        <w:gridCol w:w="1300"/>
        <w:gridCol w:w="1300"/>
        <w:gridCol w:w="306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Deal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Upfront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0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Merck-Prometheus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$10.8B*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$10.8B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 + Dx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*acquisition; ceiling for de-risked anti-TL1A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Roche-Telavant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$7.1B*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$7.25B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pre-Ph3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*acquisition; US+Japan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Teva-Sanofi (duvakitug)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$500M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~$1.5B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50/50 cost &amp; profit, royalties elsewhere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Sanofi-Earendil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$125M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~$2.5B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 bispecific floor</w:t>
            </w:r>
          </w:p>
        </w:tc>
      </w:tr>
    </w:tbl>
    <w:p>
      <w:pPr>
        <w:spacing w:after="120"/>
      </w:pPr>
      <w:r>
        <w:t xml:space="preserve">These anchor a TL1A/IL-23 asset's value.</w:t>
      </w:r>
      <w:r>
        <w:t xml:space="preserve"/>
      </w:r>
      <w:r>
        <w:t xml:space="preserve"/>
      </w:r>
      <w:r>
        <w:t xml:space="preserve"> Value is not a single number — the same first-efficacy event earns very different multiples by the surrounding evidence: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0"/>
        <w:gridCol w:w="2960"/>
      </w:tblGrid>
      <w:tr>
        <w:trPr>
          <w:tblHeader/>
        </w:trPr>
        <w:tc>
          <w:tcPr>
            <w:tcW w:type="dxa" w:w="44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 (given first additive-efficacy signal)</w:t>
            </w:r>
          </w:p>
        </w:tc>
        <w:tc>
          <w:tcPr>
            <w:tcW w:type="dxa" w:w="2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Range</w:t>
            </w:r>
          </w:p>
        </w:tc>
        <w:tc>
          <w:tcPr>
            <w:tcW w:type="dxa" w:w="29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Driver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best-in-class SC + clean safety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$8-12B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efficacy and convenience/safety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infection or immunogenicity signal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$3-6B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 discount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CMC / manufacturing problems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$2-5B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supply risk caps the multiple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 additive efficacy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&lt; $1B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reverts to a crowded monospecific-adjacent asset</w:t>
            </w:r>
          </w:p>
        </w:tc>
      </w:tr>
    </w:tbl>
    <w:p>
      <w:pPr>
        <w:pStyle w:val="Heading1"/>
      </w:pPr>
      <w:r>
        <w:t xml:space="preserve">10 · Competitive geography</w:t>
      </w:r>
    </w:p>
    <w:p>
      <w:pPr>
        <w:spacing w:after="120"/>
      </w:pPr>
      <w:r>
        <w:t xml:space="preserve">The TL1A×IL-23 bispecific field is disproportionately China-originated — LaNova (LQ080, out-licensed ex-China to Zymeworks), Simcere (SIM0709, to Boehringer Ingelheim), plus NovaMab, Elpiscience, Biocad and Qyuns. The recurring deal pattern is a Western pharma licensing-in a China-originated bispecific. Competitive sets and likely acquirers are global; Western-quality data packages and clear IP convert a China-originated molecule into a premium transaction.</w:t>
      </w:r>
    </w:p>
    <w:p>
      <w:pPr>
        <w:pStyle w:val="Heading1"/>
      </w:pPr>
      <w:r>
        <w:t xml:space="preserve">11 ·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300"/>
        <w:gridCol w:w="3380"/>
      </w:tblGrid>
      <w:tr>
        <w:trPr>
          <w:tblHeader/>
        </w:trPr>
        <w:tc>
          <w:tcPr>
            <w:tcW w:type="dxa" w:w="46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Scenario (ATLAS-UC × first bispecific signal)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Prob.</w:t>
            </w:r>
          </w:p>
        </w:tc>
        <w:tc>
          <w:tcPr>
            <w:tcW w:type="dxa" w:w="33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 — both positive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~45%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bispecific premium rises; partnering urgency increases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 — ATLAS hits, bispecific disappoints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monospecific dominance; bispecific thesis weakened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 — ATLAS misses, bispecific positive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~10%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re-rating toward dual blockade; largest upside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 — both disappoint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class-wide doubt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B91C1C" w:sz="18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The value-destroying case. </w:t>
            </w:r>
            <w:r>
              <w:t xml:space="preserve">If the first bispecific reads show no additive efficacy and ATLAS-UC succeeds (tulisokibart becomes standard of care), a bispecific that does not beat a single antibody has no buyer, and a preclinical entrant's value approaches zero. The defense is a clinical design that reads additive efficacy early and cheaply (a focused Ph1b), so a program can stop or pivot before committing Phase 2 capital.</w:t>
            </w:r>
          </w:p>
        </w:tc>
      </w:tr>
    </w:tbl>
    <w:p>
      <w:pPr>
        <w:pStyle w:val="Heading1"/>
      </w:pPr>
      <w:r>
        <w:t xml:space="preserve">12 · Diligence checklist (asset-level data)</w:t>
      </w:r>
    </w:p>
    <w:p>
      <w:pPr>
        <w:spacing w:after="120"/>
      </w:pPr>
      <w:r>
        <w:t xml:space="preserve">Answered with a program's proprietary preclinical and CMC data, not public intelligence: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6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 strong answer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NHP PK/PD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dual-arm engagement additive in primate; half-life supporting ~Q12W SC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Tox / CRS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clean GI and lymphoid histology; no cytokine-release signal from simultaneous engagement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Immunogenicity (ADA)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engineered-bispecific ADA rate vs a low-ADA mAb; PK/efficacy impact modeled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CMC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DNA-to-tox timeline; titer (g/L); CDMO vs in-house; failure modes de-risked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IP / FTO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composition-of-matter filed; FTO cleared vs the earlier TL1A estate</w:t>
            </w:r>
          </w:p>
        </w:tc>
      </w:tr>
    </w:tbl>
    <w:p>
      <w:pPr>
        <w:pStyle w:val="Heading1"/>
      </w:pPr>
      <w:r>
        <w:t xml:space="preserve">13 · Standing predictions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00"/>
        <w:gridCol w:w="1500"/>
        <w:gridCol w:w="1760"/>
      </w:tblGrid>
      <w:tr>
        <w:trPr>
          <w:tblHeader/>
        </w:trPr>
        <w:tc>
          <w:tcPr>
            <w:tcW w:type="dxa" w:w="46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Prediction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17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Resolves by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 ATLAS-UC meets its primary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65-75%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Mar 2027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TL1A×IL-23p19 bispecific human efficacy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55-65%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Dec 2027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p19-bispecific deal: total value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asset value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$1.5-3B (≥$1.5B ~70%)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Dec 2027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major licenses-in a China-origin bispecific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deal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50-60%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Dec 2027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3"/>
        <w:szCs w:val="13"/>
      </w:rPr>
      <w:t xml:space="preserve">Source-traced · footnotes link to the primary source · Page </w:t>
    </w:r>
    <w:r>
      <w:rPr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3"/>
        <w:szCs w:val="13"/>
      </w:rPr>
      <w:t xml:space="preserve"> of </w:t>
    </w:r>
    <w:r>
      <w:rPr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A3F8F"/>
        <w:sz w:val="14"/>
        <w:szCs w:val="14"/>
      </w:rPr>
      <w:t xml:space="preserve">◆ THE MERIDIAN</w:t>
    </w:r>
    <w:r>
      <w:rPr>
        <w:color w:val="64748B"/>
        <w:sz w:val="14"/>
        <w:szCs w:val="14"/>
      </w:rPr>
      <w:t xml:space="preserve">  ·  Area Intelligence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2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2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DEEA" w:sz="4" w:space="3"/>
      </w:pBdr>
      <w:spacing w:after="85" w:before="200"/>
      <w:outlineLvl w:val="0"/>
    </w:pPr>
    <w:rPr>
      <w:rFonts w:ascii="Arial" w:cs="Arial" w:eastAsia="Arial" w:hAnsi="Arial"/>
      <w:b/>
      <w:bCs/>
      <w:color w:val="1A3F8F"/>
      <w:sz w:val="23"/>
      <w:szCs w:val="23"/>
    </w:rPr>
  </w:style>
  <w:style w:type="paragraph" w:styleId="Heading2">
    <w:name w:val="Heading 2"/>
    <w:basedOn w:val="Normal"/>
    <w:next w:val="Normal"/>
    <w:qFormat/>
    <w:pPr>
      <w:spacing w:after="50" w:before="120"/>
      <w:outlineLvl w:val="1"/>
    </w:pPr>
    <w:rPr>
      <w:rFonts w:ascii="Arial" w:cs="Arial" w:eastAsia="Arial" w:hAnsi="Arial"/>
      <w:b/>
      <w:bCs/>
      <w:color w:val="14274A"/>
      <w:sz w:val="18"/>
      <w:szCs w:val="18"/>
    </w:rPr>
  </w:style>
  <w:style w:type="paragraph" w:styleId="Hyperlink">
    <w:name w:val="Hyperlink"/>
    <w:basedOn w:val="Normal"/>
    <w:rPr>
      <w:color w:val="1D4ED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s_i80vfj1ug25ghfjqqe" Type="http://schemas.openxmlformats.org/officeDocument/2006/relationships/hyperlink" Target="https://www.biospace.com/prometheus-biosciences-announces-positive-results-for-pra023-in-both-artemis-uc-phase-2-and-apollo-cd-phase-2a-studies-enabling-pathway-to-both-first-in-class-and-best-in-class-anti-tl1a-mab" TargetMode="External"/><Relationship Id="rIdyw-i2zk5yjcmk4nd1ox0b" Type="http://schemas.openxmlformats.org/officeDocument/2006/relationships/hyperlink" Target="https://gi.org/journals-publications/ebgi/kochar_dec2024/" TargetMode="External"/><Relationship Id="rIdpil8jd3lcvzynukzgq-wx" Type="http://schemas.openxmlformats.org/officeDocument/2006/relationships/hyperlink" Target="https://www.crohnscolitisfoundation.org/what-is-ibd/facts-stats" TargetMode="External"/><Relationship Id="rIdfwv_ikdkepntuztpun1zx" Type="http://schemas.openxmlformats.org/officeDocument/2006/relationships/hyperlink" Target="https://www.crohnscolitisfoundation.org/what-is-ibd/facts-stats" TargetMode="External"/><Relationship Id="rIdwo5qbe14ms9rlgxf9foml" Type="http://schemas.openxmlformats.org/officeDocument/2006/relationships/hyperlink" Target="https://www.nejm.org/doi/abs/10.1056/NEJMoa2314076" TargetMode="External"/><Relationship Id="rId_l6_pgfjx_cgbxdi7m4ui" Type="http://schemas.openxmlformats.org/officeDocument/2006/relationships/hyperlink" Target="https://www.nejm.org/doi/full/10.1056/NEJMoa2207940" TargetMode="External"/><Relationship Id="rId6sv5uy3do_uld4fhdsb5e" Type="http://schemas.openxmlformats.org/officeDocument/2006/relationships/hyperlink" Target="https://clinicaltrials.gov/study/NCT06979336" TargetMode="External"/><Relationship Id="rId31a4ldmkfbnwe3ozdnjj2" Type="http://schemas.openxmlformats.org/officeDocument/2006/relationships/hyperlink" Target="https://www.thelancet.com/journals/langas/article/PIIS2468-1253(25)00129-3/abstract" TargetMode="External"/><Relationship Id="rIdvq7s_btjwenjwxiyaiq3o" Type="http://schemas.openxmlformats.org/officeDocument/2006/relationships/hyperlink" Target="https://www.frontiersin.org/journals/gastroenterology/articles/10.3389/fgstr.2026.1747118/full" TargetMode="External"/><Relationship Id="rIdfpqacz8jlvvbcmhu29q_u" Type="http://schemas.openxmlformats.org/officeDocument/2006/relationships/hyperlink" Target="https://academic.oup.com/ecco-jcc/article/19/Supplement_1/i1158/7967681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2026-06-08T21:32:33.857Z</dcterms:created>
  <dcterms:modified xsi:type="dcterms:W3CDTF">2026-06-08T21:32:33.859Z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