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UC/CD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$30.7→41.9B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 '24→'30 (Cowen)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</w:t>
      </w:r>
      <w:hyperlink w:history="1" r:id="rIdz68uzejc0adm1qapahboz">
        <w:r>
          <w:rPr>
            <w:rStyle w:val="Hyperlink"/>
          </w:rPr>
          <w:t xml:space="preserve">Merck's $10.8B purchase of Prometheus and Roche's $7.1B purchase of Telavant</w:t>
        </w:r>
      </w:hyperlink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currently in Phase 3; the dual-mechanism bispecific is unproven and, in the clinic, uncrowded. The opportunity is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TL1A/IL-23 assets are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CD); target engagement is ~90% yet remission is ~26% — engagement alone does not deliver remission. Several open questions sit under this, incl. durability and CD vs UC effect.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fyc616isbxhavrp5q2qd_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t xml:space="preserve"/>
      </w:r>
      <w:r>
        <w:t xml:space="preserve"> — the case for a mechanism that lifts the efficacy ceiling rather than adding another single-pathway option. </w:t>
      </w:r>
      <w:r>
        <w:rPr>
          <w:b/>
          <w:bCs/>
        </w:rPr>
        <w:t xml:space="preserve">TD Cowen's 2025 GI Outlook</w:t>
      </w:r>
      <w:r>
        <w:t xml:space="preserve"> reaches the same conclusion from the sell-side: TL1A monotherapy data are 'more similar than different' across programs, and combinations may be needed in TNF-experienced patients — the exact gap a TL1A×IL-23p19 bispecific targets.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</w:t>
      </w:r>
      <w:hyperlink w:history="1" r:id="rIdbg_efruw3fftxbgtcifoz">
        <w:r>
          <w:rPr>
            <w:rStyle w:val="Hyperlink"/>
          </w:rPr>
          <w:t xml:space="preserve">40-50% of patients fail or lose response within five years</w:t>
        </w:r>
      </w:hyperlink>
      <w:r>
        <w:t xml:space="preserve"> (secondary loss ~10-20%/yr).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The patient, not just the disease. </w:t>
      </w:r>
      <w:r>
        <w:t xml:space="preserve">IBD usually begins between 15 and 35; a Crohn's diagnosis is often </w:t>
      </w:r>
      <w:hyperlink w:history="1" r:id="rIdhrzfrnx4bs2_h1h9zg2xh">
        <w:r>
          <w:rPr>
            <w:rStyle w:val="Hyperlink"/>
          </w:rPr>
          <w:t xml:space="preserve">delayed ~5-9 months and follows roughly 3.5 physician visits</w:t>
        </w:r>
      </w:hyperlink>
      <w:r>
        <w:t xml:space="preserve">, and that delay tracks with strictures and surgery — so the population reaching an advanced therapy is young, working-age, and frequently already complicated. Their lived experience is flares, steroid courses, infusion-center visits or self-injection, and the fear of surgery; “better,” from their side, means steroid-free remission, no colectomy, fewer flares, and a dosing schedule that fits a working life. Real-world data show how high that bar is: </w:t>
      </w:r>
      <w:hyperlink w:history="1" r:id="rIdbflfpnogd4-bs9dcopyk5">
        <w:r>
          <w:rPr>
            <w:rStyle w:val="Hyperlink"/>
          </w:rPr>
          <w:t xml:space="preserve">only ~45-48% remain on their first biologic at one year</w:t>
        </w:r>
      </w:hyperlink>
      <w:r>
        <w:t xml:space="preserve"> before loss of response or dosing burden moves them off it. A durable, deep, conveniently-dosed remission is therefore a patient outcome and a commercial moat at once.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t xml:space="preserve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</w:t>
      </w:r>
      <w:hyperlink w:history="1" r:id="rIds7ulgeptn8fpcyovy0xnc">
        <w:r>
          <w:rPr>
            <w:rStyle w:val="Hyperlink"/>
          </w:rPr>
          <w:t xml:space="preserve">force an anti-TNF biosimilar before newer advanced agents</w:t>
        </w:r>
      </w:hyperlink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The targets, precisely</w:t>
      </w:r>
    </w:p>
    <w:p>
      <w:pPr>
        <w:spacing w:after="120"/>
      </w:pPr>
      <w:r>
        <w:t xml:space="preserve">The bet is on two genetically human-validated targets. </w:t>
      </w:r>
      <w:r>
        <w:rPr>
          <w:b/>
          <w:bCs/>
        </w:rPr>
        <w:t xml:space="preserve">TL1A</w:t>
      </w:r>
      <w:r>
        <w:t xml:space="preserve"> — the </w:t>
      </w:r>
      <w:hyperlink w:history="1" r:id="rId_9s7zgy8i7jwk7uol3t_b">
        <w:r>
          <w:rPr>
            <w:rStyle w:val="Hyperlink"/>
          </w:rPr>
          <w:t xml:space="preserve">TNFSF15 gene product</w:t>
        </w:r>
      </w:hyperlink>
      <w:r>
        <w:t xml:space="preserve"> (TNF superfamily) — costimulates effector T cells via its receptor </w:t>
      </w:r>
      <w:r>
        <w:rPr>
          <w:b/>
          <w:bCs/>
        </w:rPr>
        <w:t xml:space="preserve">DR3</w:t>
      </w:r>
      <w:r>
        <w:t xml:space="preserve"> (TNFRSF25) and is buffered by the decoy DcR3; TNFSF15 is a validated IBD risk locus across multiple ancestries, and TL1A/DR3 is upregulated in inflamed UC and CD mucosa, driving Th1/Th17 inflammation and fibro-stromal remodeling. </w:t>
      </w:r>
      <w:r>
        <w:rPr>
          <w:b/>
          <w:bCs/>
        </w:rPr>
        <w:t xml:space="preserve">IL-23</w:t>
      </w:r>
      <w:r>
        <w:t xml:space="preserve"> — a p19 (IL23A) + p40 heterodimer signalling via IL-23R — sustains pathogenic Th17, and </w:t>
      </w:r>
      <w:r>
        <w:rPr>
          <w:b/>
          <w:bCs/>
        </w:rPr>
        <w:t xml:space="preserve">IL23R</w:t>
      </w:r>
      <w:r>
        <w:t xml:space="preserve"> is itself a landmark IBD gene. Both arms are validated by human genetics and by drugs; what is unproven is their combination, not either target. </w:t>
      </w:r>
      <w:r>
        <w:rPr>
          <w:b/>
          <w:bCs/>
        </w:rPr>
        <w:t xml:space="preserve">On-target ceiling: </w:t>
      </w:r>
      <w:r>
        <w:t xml:space="preserve">DR3 signalling also supports regulatory-T-cell homeostasis, so the theoretical limit on TL1A blockade is immune over-suppression — and the concrete clinical question that gates the bispecific is infection risk under simultaneous TL1A + IL-23 blockade (Section 6).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ssdvru79e0nhtiscvcfwo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t xml:space="preserve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t xml:space="preserve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mirikizumab (Omvoh) approved UC 2023 and CD 2025 with </w:t>
      </w:r>
      <w:hyperlink w:history="1" r:id="rIdjieilu4a0o8w3zctwj6xk">
        <w:r>
          <w:rPr>
            <w:rStyle w:val="Hyperlink"/>
          </w:rPr>
          <w:t xml:space="preserve">four-year durability</w:t>
        </w:r>
      </w:hyperlink>
      <w:r>
        <w:t xml:space="preserve">, risankizumab (Skyrizi) approved CD and UC, guselkumab approved.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the engagement-to-remission gap is driven by a non-overlapping IL-23-dependent escape route, dual blockade should convert engagement into remission — the 30-40% deep-remission hypothesis. It is falsifiable: if dual blockade does not beat the best monospecific, the thesis fails. </w:t>
            </w:r>
            <w:r>
              <w:t xml:space="preserve">RO7837195 (p40×TL1A) and MT-251 are the </w:t>
            </w:r>
            <w:hyperlink w:history="1" r:id="rIddqtwnnea2l0duiyaollmw">
              <w:r>
                <w:rPr>
                  <w:rStyle w:val="Hyperlink"/>
                </w:rPr>
                <w:t xml:space="preserve">first programs positioned to test it</w:t>
              </w:r>
            </w:hyperlink>
            <w:r>
              <w:t xml:space="preserve">; neither has reported additive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2560"/>
        <w:gridCol w:w="12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</w:t>
      </w:r>
      <w:hyperlink w:history="1" r:id="rId7-xbsq1l1axyhh8drrysi">
        <w:r>
          <w:rPr>
            <w:rStyle w:val="Hyperlink"/>
          </w:rPr>
          <w:t xml:space="preserve">was significant (30/35/32% vs 12%)</w:t>
        </w:r>
      </w:hyperlink>
      <w:r>
        <w:t xml:space="preserve">. The mechanism did not fail; endpoint choice decided how the trial read, and afimkibart's efficacy sits in the same band as its peers. Roche is continuing development.</w:t>
      </w:r>
    </w:p>
    <w:p>
      <w:pPr>
        <w:pStyle w:val="Heading2"/>
      </w:pPr>
      <w:r>
        <w:t xml:space="preserve">BD overlay — control, availability, and the so-what</w:t>
      </w:r>
    </w:p>
    <w:p>
      <w:pPr>
        <w:spacing w:after="120"/>
      </w:pPr>
      <w:r>
        <w:t xml:space="preserve">Competitive data becomes a BD decision only once you layer on who controls each asset, whether it can be transacted, and what its existence means for a buyer: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20"/>
        <w:gridCol w:w="1340"/>
        <w:gridCol w:w="4900"/>
      </w:tblGrid>
      <w:tr>
        <w:trPr>
          <w:tblHeader/>
        </w:trPr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62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134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So-what for a buyer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(acq. Prometheus)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sets the monospecific bar; not for sale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+ Teva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partnered / 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co-owned; defines the Ph3 monospecific benchmark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(acq. Telavant)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in-house; Roche also holds the RO7837195 bispecific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SPY002 / platform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cleanest pure-play IBD-platform 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/ Pfizer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clinical data; not available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long-acting bispecific inside one small company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bispecific; Xencor licenses readily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The validated monospecifics are all locked inside large pharma; the transactable bispecific optionality sits with a small set of independents — </w:t>
      </w:r>
      <w:r>
        <w:rPr>
          <w:b/>
          <w:bCs/>
        </w:rPr>
        <w:t xml:space="preserve">Spyre, Mirador, Xencor</w:t>
      </w:r>
      <w:r>
        <w:t xml:space="preserve"> — plus the China-origin programs (Section 10). That is where a TL1A×IL-23 position can actually be acquired, and the timing of any move is gated by their catalysts (Section 7).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Biomarker direction worth considering. </w:t>
            </w:r>
            <w:r>
              <w:t xml:space="preserve">High mucosal OSM is associated with non-response to anti-TNF and single-cytokine blockade</w:t>
            </w:r>
            <w:r>
              <w:t xml:space="preserve"/>
            </w:r>
            <w:r>
              <w:t xml:space="preserve">; it is a rational selection marker for the escape population a TL1A monotherapy leaves behind, and a way a dual-blockade asset could define and own a segment a CDx-enriched monotherapy excludes. This is a hypothesis the biology supports, not a validated companion diagnostic.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</w:t>
      </w:r>
      <w:hyperlink w:history="1" r:id="rId4c-oanyprho6ct1mnbnv2">
        <w:r>
          <w:rPr>
            <w:rStyle w:val="Hyperlink"/>
          </w:rPr>
          <w:t xml:space="preserve">full IBD armamentarium</w:t>
        </w:r>
      </w:hyperlink>
      <w:r>
        <w:t xml:space="preserve"> a prescriber and payer choose among — and it is increasingly 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t xml:space="preserve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spacing w:after="120"/>
      </w:pPr>
      <w:r>
        <w:rPr>
          <w:b/>
          <w:bCs/>
        </w:rPr>
        <w:t xml:space="preserve">Sizing the prize and the threat (TD Cowen). </w:t>
      </w:r>
      <w:r>
        <w:t xml:space="preserve">IBD therapeutics are ~$30.7B (2024) growing to ~$41.9B (2030), with AbbVie extending from ~31% to ~44% share via Rinvoq + Skyrizi. Rinvoq (oral JAK) alone is projected at ~$3.7B in IBD by 2027, already capturing ~50% of new Crohn's and ~33% of new UC starts — the oral is taking major share now, which sets the efficacy/durability bar a quarterly injectable must beat.</w:t>
      </w:r>
    </w:p>
    <w:p>
      <w:pPr>
        <w:spacing w:after="120"/>
      </w:pPr>
      <w:r>
        <w:rPr>
          <w:b/>
          <w:bCs/>
        </w:rPr>
        <w:t xml:space="preserve">Beyond IBD. </w:t>
      </w:r>
      <w:r>
        <w:t xml:space="preserve">The mechanism is not IBD-only: Merck has moved tulisokibart into </w:t>
      </w:r>
      <w:hyperlink w:history="1" r:id="rIdudnqkndb0lisgfhavayon">
        <w:r>
          <w:rPr>
            <w:rStyle w:val="Hyperlink"/>
          </w:rPr>
          <w:t xml:space="preserve">Phase 2b in hidradenitis suppurativa, axial spondyloarthritis and rheumatoid arthritis</w:t>
        </w:r>
      </w:hyperlink>
      <w:r>
        <w:t xml:space="preserve">, and IL-23p19 agents are already approved in psoriasis and psoriatic arthritis. A TL1A×IL-23 asset therefore carries label-expansion optionality that widens its addressable market — and its platform value — beyond the IBD numbers above.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is the bispecific battleground. </w:t>
      </w:r>
      <w:r>
        <w:t xml:space="preserve">Spyre management has publicly characterized first-generation TL1A bispecifics as showing unfavorable immunogenicity, while XmAb942 (anti-TL1A) reports no anti-drug antibodies to date. Clean immunogenicity is therefore both a key technical risk for a bispecific and a concrete, named differentiation target.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</w:t>
      </w:r>
      <w:hyperlink w:history="1" r:id="rId68lspkdakcmrrwbhga37y">
        <w:r>
          <w:rPr>
            <w:rStyle w:val="Hyperlink"/>
          </w:rPr>
          <w:t xml:space="preserve">50 weeks in ARTEMIS-UC</w:t>
        </w:r>
      </w:hyperlink>
      <w:r>
        <w:t xml:space="preserve">, tulisokibart showed no new safety signals — infections upper-respiratory-predominant (37%/46% at Wk50), no serious infections, no infection discontinuations.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a primary focus of a partner's diligence.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spacing w:after="120"/>
      </w:pPr>
      <w:r>
        <w:rPr>
          <w:b/>
          <w:bCs/>
        </w:rPr>
        <w:t xml:space="preserve">Regulatory read. </w:t>
      </w:r>
      <w:r>
        <w:t xml:space="preserve">The path is well-mapped, not novel: the FDA accepts modified-Mayo clinical remission plus endoscopic improvement in UC (and CDAI / endoscopic endpoints in CD), placebo remission runs ~10-13%, and the class already has approvals across IL-23p19, JAK and S1P. A bispecific's gating risk is therefore comparative efficacy and the dual-blockade safety package — not regulatory uncertainty about the endpoint or the pathway.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 (Wedbush Rx tracker). </w:t>
      </w:r>
      <w:r>
        <w:t xml:space="preserve">The IL-23 class lists at roughly $7.5-10k/month — Skyrizi ~$7,488, Tremfya ~$7,646, Stelara ~$8,700, Omvoh ~$9,946; S1P orals are cheaper (etrasimod ~$6,123, ozanimod ~$9,609), anti-TNF ~$6-7k (Humira ~$7,271). A new agent is priced into this band and judged on net cost after rebates. A Spyre patient survey found a ~60/40 preference for a quarterly injectable over a once-daily oral in IBD — a data point that supports the SC-bispecific value case on both cost-of-care and patient preference.</w:t>
      </w:r>
    </w:p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t xml:space="preserve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~$2.5B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 floor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t xml:space="preserve"/>
      </w:r>
      <w:r>
        <w:t xml:space="preserve"/>
      </w:r>
      <w:r>
        <w:t xml:space="preserve"> Value is not a single number — the same first-efficacy event earns very different multiples by the surrounding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 / manufacturing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 — LaNova (LQ080, out-licensed ex-China to Zymeworks), Simcere (SIM0709, to Boehringer Ingelheim), plus NovaMab, Elpiscience, Biocad and Qyuns. The recurring deal pattern is a Western pharma licensing-in a China-originated bispecific. Competitive sets and likely acquirers are global; Western-quality data packages and clear IP convert a China-originated molecule into a premium transaction.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Q1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</w:tbl>
    <w:p>
      <w:pPr>
        <w:pStyle w:val="Heading1"/>
      </w:pPr>
      <w:r>
        <w:t xml:space="preserve">What would change this view</w:t>
      </w:r>
    </w:p>
    <w:p>
      <w:pPr>
        <w:spacing w:after="120"/>
      </w:pPr>
      <w:r>
        <w:t xml:space="preserve">The test of an intelligence brief is not only what it claims, but what would falsify each claim. The load-bearing conclusions and their disconfirming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we see…</w:t>
            </w:r>
          </w:p>
        </w:tc>
        <w:tc>
          <w:tcPr>
            <w:tcW w:type="dxa" w:w="53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…the view changes to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first bispecific readout with no additive efficacy over the best monospecific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dual-mechanism thesis fails; bispecific value reverts to &lt; $1B (Section 11)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infection or immunogenicity signal under dual blockade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discount; the deal range compresses toward $3-6B (Section 9)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ATLAS-UC and the early bispecific reads both positive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premium and partnering urgency rise (Scenario A)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oral (JAK / TYK2) reaching durable deep remission at the bispecific's bar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injectable's differentiation narrows; convenience advantage shifts to orals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quantitative claim here is footnoted to its primary source. Where a claim is a hypothesis rather than an established fact — the OSM selection-marker direction, the 30-40% dual-blockade ceiling, the additive-efficacy premise itself — it is labelled as such, not asserted. That is the standard this brief holds itself to: a claim you can answer, source, rate for confidence, and say what would change.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68uzejc0adm1qapahboz" Type="http://schemas.openxmlformats.org/officeDocument/2006/relationships/hyperlink" Target="https://www.biospace.com/prometheus-biosciences-announces-positive-results-for-pra023-in-both-artemis-uc-phase-2-and-apollo-cd-phase-2a-studies-enabling-pathway-to-both-first-in-class-and-best-in-class-anti-tl1a-mab" TargetMode="External"/><Relationship Id="rIdfyc616isbxhavrp5q2qd_" Type="http://schemas.openxmlformats.org/officeDocument/2006/relationships/hyperlink" Target="https://gi.org/journals-publications/ebgi/kochar_dec2024/" TargetMode="External"/><Relationship Id="rIdbg_efruw3fftxbgtcifoz" Type="http://schemas.openxmlformats.org/officeDocument/2006/relationships/hyperlink" Target="https://www.crohnscolitisfoundation.org/what-is-ibd/facts-stats" TargetMode="External"/><Relationship Id="rIdhrzfrnx4bs2_h1h9zg2xh" Type="http://schemas.openxmlformats.org/officeDocument/2006/relationships/hyperlink" Target="https://pubmed.ncbi.nlm.nih.gov/39551466/" TargetMode="External"/><Relationship Id="rIdbflfpnogd4-bs9dcopyk5" Type="http://schemas.openxmlformats.org/officeDocument/2006/relationships/hyperlink" Target="https://academic.oup.com/crohnscolitis360/article/5/4/otad051/7276322" TargetMode="External"/><Relationship Id="rIds7ulgeptn8fpcyovy0xnc" Type="http://schemas.openxmlformats.org/officeDocument/2006/relationships/hyperlink" Target="https://www.crohnscolitisfoundation.org/what-is-ibd/facts-stats" TargetMode="External"/><Relationship Id="rId_9s7zgy8i7jwk7uol3t_b" Type="http://schemas.openxmlformats.org/officeDocument/2006/relationships/hyperlink" Target="https://www.frontiersin.org/articles/10.3389/fimmu.2019.00583/full" TargetMode="External"/><Relationship Id="rIdssdvru79e0nhtiscvcfwo" Type="http://schemas.openxmlformats.org/officeDocument/2006/relationships/hyperlink" Target="https://www.nejm.org/doi/abs/10.1056/NEJMoa2314076" TargetMode="External"/><Relationship Id="rIdjieilu4a0o8w3zctwj6xk" Type="http://schemas.openxmlformats.org/officeDocument/2006/relationships/hyperlink" Target="https://www.nejm.org/doi/full/10.1056/NEJMoa2207940" TargetMode="External"/><Relationship Id="rIddqtwnnea2l0duiyaollmw" Type="http://schemas.openxmlformats.org/officeDocument/2006/relationships/hyperlink" Target="https://clinicaltrials.gov/study/NCT06979336" TargetMode="External"/><Relationship Id="rId7-xbsq1l1axyhh8drrysi" Type="http://schemas.openxmlformats.org/officeDocument/2006/relationships/hyperlink" Target="https://www.thelancet.com/journals/langas/article/PIIS2468-1253(25)00129-3/abstract" TargetMode="External"/><Relationship Id="rId4c-oanyprho6ct1mnbnv2" Type="http://schemas.openxmlformats.org/officeDocument/2006/relationships/hyperlink" Target="https://www.frontiersin.org/journals/gastroenterology/articles/10.3389/fgstr.2026.1747118/full" TargetMode="External"/><Relationship Id="rIdudnqkndb0lisgfhavayon" Type="http://schemas.openxmlformats.org/officeDocument/2006/relationships/hyperlink" Target="https://www.merck.com/news/merck-expands-tulisokibart-clinical-development-program-with-initiation-of-phase-2b-trials-in-three-additional-immune-mediated-inflammatory-diseases/" TargetMode="External"/><Relationship Id="rId68lspkdakcmrrwbhga37y" Type="http://schemas.openxmlformats.org/officeDocument/2006/relationships/hyperlink" Target="https://academic.oup.com/ecco-jcc/article/19/Supplement_1/i1158/7967681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2026-06-09T14:14:11.593Z</dcterms:created>
  <dcterms:modified xsi:type="dcterms:W3CDTF">2026-06-09T14:14:11.597Z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