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F8F" w:val="clear"/>
        <w:spacing w:after="0"/>
      </w:pPr>
      <w:r>
        <w:rPr>
          <w:b/>
          <w:bCs/>
          <w:color w:val="FFFFFF"/>
          <w:sz w:val="16"/>
          <w:szCs w:val="16"/>
        </w:rPr>
        <w:t xml:space="preserve">  ◆ THE MERIDIAN · AREA INTELLIGENCE BRIEF</w:t>
      </w:r>
      <w:r>
        <w:rPr>
          <w:color w:val="D7E3F5"/>
          <w:sz w:val="13"/>
          <w:szCs w:val="13"/>
        </w:rPr>
        <w:t xml:space="preserve">                                                                        June 8, 2026</w:t>
      </w:r>
    </w:p>
    <w:p>
      <w:pPr>
        <w:shd w:fill="1A3F8F" w:val="clear"/>
        <w:spacing w:after="40" w:before="30"/>
      </w:pPr>
      <w:r>
        <w:rPr>
          <w:b/>
          <w:bCs/>
          <w:color w:val="FFFFFF"/>
          <w:sz w:val="29"/>
          <w:szCs w:val="29"/>
        </w:rPr>
        <w:t xml:space="preserve">  TL1A × IL-23p19 in Ulcerative Colitis &amp; IBD</w:t>
      </w:r>
    </w:p>
    <w:p>
      <w:pPr>
        <w:spacing w:after="60" w:before="70"/>
      </w:pPr>
      <w:r>
        <w:rPr>
          <w:i/>
          <w:iCs/>
        </w:rPr>
        <w:t xml:space="preserve">A source-traced analysis of where value is created in the TL1A / IL-23 landscape — reasoning from patient need through the biology and competitive data to the deal. Footnotes link to the primary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5"/>
                <w:szCs w:val="25"/>
              </w:rPr>
              <w:t xml:space="preserve">~1.7M</w:t>
            </w:r>
          </w:p>
          <w:p>
            <w:pPr>
              <w:jc w:val="center"/>
            </w:pPr>
            <w:r>
              <w:rPr>
                <w:color w:val="64748B"/>
                <w:sz w:val="13"/>
                <w:szCs w:val="13"/>
              </w:rPr>
              <w:t xml:space="preserve">US IBD patients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5"/>
                <w:szCs w:val="25"/>
              </w:rPr>
              <w:t xml:space="preserve">$15B+</w:t>
            </w:r>
          </w:p>
          <w:p>
            <w:pPr>
              <w:jc w:val="center"/>
            </w:pPr>
            <w:r>
              <w:rPr>
                <w:color w:val="64748B"/>
                <w:sz w:val="13"/>
                <w:szCs w:val="13"/>
              </w:rPr>
              <w:t xml:space="preserve">IBD biologic market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5"/>
                <w:szCs w:val="25"/>
              </w:rPr>
              <w:t xml:space="preserve">40-50%</w:t>
            </w:r>
          </w:p>
          <w:p>
            <w:pPr>
              <w:jc w:val="center"/>
            </w:pPr>
            <w:r>
              <w:rPr>
                <w:color w:val="64748B"/>
                <w:sz w:val="13"/>
                <w:szCs w:val="13"/>
              </w:rPr>
              <w:t xml:space="preserve">fail biologics in 5 yrs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5"/>
                <w:szCs w:val="25"/>
              </w:rPr>
              <w:t xml:space="preserve">15-20%</w:t>
            </w:r>
          </w:p>
          <w:p>
            <w:pPr>
              <w:jc w:val="center"/>
            </w:pPr>
            <w:r>
              <w:rPr>
                <w:color w:val="64748B"/>
                <w:sz w:val="13"/>
                <w:szCs w:val="13"/>
              </w:rPr>
              <w:t xml:space="preserve">deep-remission ceiling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5"/>
                <w:szCs w:val="25"/>
              </w:rPr>
              <w:t xml:space="preserve">3+</w:t>
            </w:r>
          </w:p>
          <w:p>
            <w:pPr>
              <w:jc w:val="center"/>
            </w:pPr>
            <w:r>
              <w:rPr>
                <w:color w:val="64748B"/>
                <w:sz w:val="13"/>
                <w:szCs w:val="13"/>
              </w:rPr>
              <w:t xml:space="preserve">approved IL-23p19 in IBD</w:t>
            </w:r>
          </w:p>
        </w:tc>
      </w:tr>
    </w:tbl>
    <w:p>
      <w:pPr>
        <w:pStyle w:val="Heading1"/>
      </w:pPr>
      <w:r>
        <w:t xml:space="preserve">The landscape in brief</w:t>
      </w:r>
    </w:p>
    <w:p>
      <w:pPr>
        <w:spacing w:after="120"/>
      </w:pPr>
      <w:r>
        <w:t xml:space="preserve">Anti-TL1A monotherapy is now a four-way Phase 3 race: </w:t>
      </w:r>
      <w:r>
        <w:rPr>
          <w:b/>
          <w:bCs/>
        </w:rPr>
        <w:t xml:space="preserve">tulisokibart</w:t>
      </w:r>
      <w:r>
        <w:t xml:space="preserve"> (Merck), </w:t>
      </w:r>
      <w:r>
        <w:rPr>
          <w:b/>
          <w:bCs/>
        </w:rPr>
        <w:t xml:space="preserve">afimkibart</w:t>
      </w:r>
      <w:r>
        <w:t xml:space="preserve"> (Roche), </w:t>
      </w:r>
      <w:r>
        <w:rPr>
          <w:b/>
          <w:bCs/>
        </w:rPr>
        <w:t xml:space="preserve">duvakitug</w:t>
      </w:r>
      <w:r>
        <w:t xml:space="preserve"> (Sanofi/Teva), with </w:t>
      </w:r>
      <w:r>
        <w:rPr>
          <w:b/>
          <w:bCs/>
        </w:rPr>
        <w:t xml:space="preserve">SPY002</w:t>
      </w:r>
      <w:r>
        <w:t xml:space="preserve"> (Spyre) close behind. The mechanism is validated; the lane is crowded. The question that is still open — and that defines value from here — is whether combining TL1A blockade with IL-23p19 blockade in a single molecule produces </w:t>
      </w:r>
      <w:r>
        <w:rPr>
          <w:b/>
          <w:bCs/>
        </w:rPr>
        <w:t xml:space="preserve">additive</w:t>
      </w:r>
      <w:r>
        <w:t xml:space="preserve"> efficacy beyond the best monotherapy. No bispecific has yet answered it in patients.</w:t>
      </w:r>
    </w:p>
    <w:p>
      <w:pPr>
        <w:spacing w:after="120"/>
      </w:pPr>
      <w:r>
        <w:t xml:space="preserve">That single unanswered question is where value concentrates. The asset that answers it first — with a manufacturable, long-acting subcutaneous profile and a clean safety read — steps into a deal comp set anchored by Merck's $10.8B purchase of Prometheus and Roche's $7.1B purchase of Telavant.</w:t>
      </w:r>
      <w:r>
        <w:rPr>
          <w:rStyle w:val="FootnoteReference"/>
        </w:rPr>
        <w:footnoteReference w:id="12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t xml:space="preserve">The frontier in one line: IL-23p19 monotherapy is </w:t>
            </w:r>
            <w:r>
              <w:rPr>
                <w:b/>
                <w:bCs/>
              </w:rPr>
              <w:t xml:space="preserve">approved and durable</w:t>
            </w:r>
            <w:r>
              <w:t xml:space="preserve"> in IBD; TL1A monotherapy is </w:t>
            </w:r>
            <w:r>
              <w:rPr>
                <w:b/>
                <w:bCs/>
              </w:rPr>
              <w:t xml:space="preserve">validated in Phase 2 and now in Phase 3</w:t>
            </w:r>
            <w:r>
              <w:t xml:space="preserve">; the dual-mechanism bispecific is </w:t>
            </w:r>
            <w:r>
              <w:rPr>
                <w:b/>
                <w:bCs/>
              </w:rPr>
              <w:t xml:space="preserve">unproven and uncrowded</w:t>
            </w:r>
            <w:r>
              <w:t xml:space="preserve">. The prize is closing the gap between today's ~15-20% deep-remission ceiling and the 30-40% dual blockade is hypothesized to reach.</w:t>
            </w:r>
          </w:p>
        </w:tc>
      </w:tr>
    </w:tbl>
    <w:p>
      <w:pPr>
        <w:pStyle w:val="Heading1"/>
      </w:pPr>
      <w:r>
        <w:t xml:space="preserve">What makes an asset valuable here</w:t>
      </w:r>
    </w:p>
    <w:p>
      <w:pPr>
        <w:spacing w:after="120"/>
      </w:pPr>
      <w:r>
        <w:t xml:space="preserve">Before naming any single program, it is worth stating plainly what creates — or destroys — value for an asset in this space. These are the axes any TL1A/IL-23 asset is judged 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1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 axis</w:t>
            </w:r>
          </w:p>
        </w:tc>
        <w:tc>
          <w:tcPr>
            <w:tcW w:type="dxa" w:w="72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separates a winner from an also-ran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Additive efficacy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Does dual blockade beat the best monospecific? Target engagement is necessary but, on its own, has not produced high remission (below). This is the central, unproven question.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Format &amp; dosing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Long-acting subcutaneous (≈Q12W) beats intravenous on payer economics and patient preference; the half-life frontier is now ~74 days (XmAb942).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Biomarker strategy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way to enrich responders (a companion diagnostic) or to define the escape population a monotherapy leaves behind raises the value of the addressable segment.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Speed to the validating readout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first credible additive-efficacy signal re-rates the asset; arriving after the question is answered does not.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Evidence bundle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Safety, immunogenicity, and CMC travel with efficacy — the same efficacy result earns very different deals depending on what surrounds it.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Geography &amp; economics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Cost of development and where rights sit shape the achievable deal; the bispecific field is unusually China-dense (below).</w:t>
            </w:r>
          </w:p>
        </w:tc>
      </w:tr>
    </w:tbl>
    <w:p>
      <w:pPr>
        <w:spacing w:after="120"/>
      </w:pPr>
      <w:r>
        <w:rPr>
          <w:b/>
          <w:bCs/>
        </w:rPr>
        <w:t xml:space="preserve">What the field is saying. </w:t>
      </w:r>
      <w:r>
        <w:t xml:space="preserve">Independent commentary frames anti-TL1A as a genuine new class for UC while cautioning that remission rates remain modest and that durability and positioning are still to be proven</w:t>
      </w:r>
      <w:r>
        <w:rPr>
          <w:rStyle w:val="FootnoteReference"/>
        </w:rPr>
        <w:footnoteReference w:id="13"/>
      </w:r>
      <w:r>
        <w:t xml:space="preserve"> — which is precisely why a mechanism that lifts the efficacy ceiling, rather than adding another single-pathway option, is the high-value move.</w:t>
      </w:r>
    </w:p>
    <w:p>
      <w:pPr>
        <w:pStyle w:val="Heading1"/>
      </w:pPr>
      <w:r>
        <w:t xml:space="preserve">1 · Patient &amp; disease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250"/>
        <w:gridCol w:w="1250"/>
        <w:gridCol w:w="1500"/>
        <w:gridCol w:w="3110"/>
      </w:tblGrid>
      <w:tr>
        <w:trPr>
          <w:tblHeader/>
        </w:trPr>
        <w:tc>
          <w:tcPr>
            <w:tcW w:type="dxa" w:w="22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Indication</w:t>
            </w:r>
          </w:p>
        </w:tc>
        <w:tc>
          <w:tcPr>
            <w:tcW w:type="dxa" w:w="12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 pts</w:t>
            </w:r>
          </w:p>
        </w:tc>
        <w:tc>
          <w:tcPr>
            <w:tcW w:type="dxa" w:w="12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Market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SoC remission</w:t>
            </w:r>
          </w:p>
        </w:tc>
        <w:tc>
          <w:tcPr>
            <w:tcW w:type="dxa" w:w="31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gap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Ulcerative colitis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~0.9-1.25M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~$8B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~25%</w:t>
            </w:r>
          </w:p>
        </w:tc>
        <w:tc>
          <w:tcPr>
            <w:tcW w:type="dxa" w:w="3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~15-20% endoscopic; ~150-200K face colectomy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Crohn's disease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~0.78M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~$7B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~20-35%</w:t>
            </w:r>
          </w:p>
        </w:tc>
        <w:tc>
          <w:tcPr>
            <w:tcW w:type="dxa" w:w="3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fistulizing CD (~30%) largely untreated; transmural healing &lt;10%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IBD total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~1.7M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$15B+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~22%</w:t>
            </w:r>
          </w:p>
        </w:tc>
        <w:tc>
          <w:tcPr>
            <w:tcW w:type="dxa" w:w="3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40-50% fail / lose response in 5 yrs; deep remission 15-20%</w:t>
            </w:r>
          </w:p>
        </w:tc>
      </w:tr>
    </w:tbl>
    <w:p>
      <w:pPr>
        <w:spacing w:after="120"/>
      </w:pPr>
      <w:r>
        <w:t xml:space="preserve">The field has reached a </w:t>
      </w:r>
      <w:r>
        <w:rPr>
          <w:b/>
          <w:bCs/>
        </w:rPr>
        <w:t xml:space="preserve">remission ceiling</w:t>
      </w:r>
      <w:r>
        <w:t xml:space="preserve">. Even the best current agents put only ~15-20% of patients into deep remission; 40-50% fail or lose response within five years; and after exhausting anti-TNF, vedolizumab, ustekinumab and JAK inhibitors, an estimated 150-200K US ulcerative-colitis patients reach the point of colectomy. The unmet need, stated precisely, is not the number of options — it is the </w:t>
      </w:r>
      <w:r>
        <w:rPr>
          <w:b/>
          <w:bCs/>
        </w:rPr>
        <w:t xml:space="preserve">depth and durability of remission</w:t>
      </w:r>
      <w:r>
        <w:t xml:space="preserve"> each option delivers.</w:t>
      </w:r>
      <w:r>
        <w:rPr>
          <w:rStyle w:val="FootnoteReference"/>
        </w:rPr>
        <w:footnoteReference w:id="1"/>
      </w:r>
    </w:p>
    <w:p>
      <w:pPr>
        <w:spacing w:after="120"/>
      </w:pPr>
      <w:r>
        <w:rPr>
          <w:b/>
          <w:bCs/>
        </w:rPr>
        <w:t xml:space="preserve">Why a bispecific is a rational response. </w:t>
      </w:r>
      <w:r>
        <w:t xml:space="preserve">Patients fail current biologics because blocking a single pathway leaves an escape route open (Section 2 shows the data). TL1A blockade addresses inflammation and the fibro-stromal remodeling behind stricturing disease; IL-23p19 blockade addresses the Th17 maintenance biology. Hitting both with one molecule is the mechanism-level answer to a ceiling that single pathways have not broken — and it is the reason AbbVie pairs its anti-TL1A (ABBV-701) with SKYRIZI (IL-23) as a two-drug regimen.</w:t>
      </w:r>
      <w:r>
        <w:rPr>
          <w:rStyle w:val="FootnoteReference"/>
        </w:rPr>
        <w:footnoteReference w:id="11"/>
      </w:r>
    </w:p>
    <w:p>
      <w:pPr>
        <w:pStyle w:val="Heading1"/>
      </w:pPr>
      <w:r>
        <w:t xml:space="preserve">2 · The scientific thesis</w:t>
      </w:r>
    </w:p>
    <w:p>
      <w:pPr>
        <w:pStyle w:val="Heading2"/>
      </w:pPr>
      <w:r>
        <w:t xml:space="preserve">Step 1 — Target engagement is not the same as efficacy</w:t>
      </w:r>
    </w:p>
    <w:p>
      <w:pPr>
        <w:spacing w:after="120"/>
      </w:pPr>
      <w:r>
        <w:t xml:space="preserve">Anti-TL1A antibodies achieve near-complete target engagement — tulisokibart suppresses free soluble TL1A by ~90%, afimkibart by ~92% — yet clinical remission lands at ~26%. In ARTEMIS-UC, tulisokibart produced 26% remission versus 1% on placebo at Week 12 (and 32% vs 11% in a genetic-biomarker-selected subgroup).</w:t>
      </w:r>
      <w:r>
        <w:rPr>
          <w:rStyle w:val="FootnoteReference"/>
        </w:rPr>
        <w:footnoteReference w:id="2"/>
      </w:r>
      <w:r>
        <w:t xml:space="preserve"> The molecule is binding and neutralizing its target as designed; the disease nonetheless persists in three-quarters of patients. That gap between engagement and outcome is the problem the field has to solve.</w:t>
      </w:r>
    </w:p>
    <w:p>
      <w:pPr>
        <w:pStyle w:val="Heading2"/>
      </w:pPr>
      <w:r>
        <w:t xml:space="preserve">Step 2 — Why the gap exists: the escape pathway</w:t>
      </w:r>
    </w:p>
    <w:p>
      <w:pPr>
        <w:spacing w:after="120"/>
      </w:pPr>
      <w:r>
        <w:t xml:space="preserve">The leading explanation is that TL1A blockade leaves </w:t>
      </w:r>
      <w:r>
        <w:rPr>
          <w:b/>
          <w:bCs/>
        </w:rPr>
        <w:t xml:space="preserve">IL-23-dependent Th17 activation</w:t>
      </w:r>
      <w:r>
        <w:t xml:space="preserve"> and epithelial-restitution failure untouched. The non-responder biology supports this: a large share of anti-TL1A non-responders escape through Th17 routes, while anti-IL-23 non-responders tend to escape through Th1 / IL-12-independent IFN-γ — two largely non-overlapping escape maps. Afimkibart's own serum proteomics make the point from the other direction: it downregulates Th17, myeloid and fibrotic pathways</w:t>
      </w:r>
      <w:r>
        <w:rPr>
          <w:rStyle w:val="FootnoteReference"/>
        </w:rPr>
        <w:footnoteReference w:id="5"/>
      </w:r>
      <w:r>
        <w:t xml:space="preserve">, confirming TL1A's reach into fibrosis but also showing where a second mechanism is still needed. Two non-overlapping escape routes is the mechanistic definition of a combination opportunity.</w:t>
      </w:r>
    </w:p>
    <w:p>
      <w:pPr>
        <w:pStyle w:val="Heading2"/>
      </w:pPr>
      <w:r>
        <w:t xml:space="preserve">Step 3 — Why IL-23p19, and what is already proven</w:t>
      </w:r>
    </w:p>
    <w:p>
      <w:pPr>
        <w:spacing w:after="120"/>
      </w:pPr>
      <w:r>
        <w:t xml:space="preserve">IL-23p19 is the right second arm for two reasons. Biologically, it closes the Th17 escape route while preserving IL-12/Th1 immunity (unlike p40). Commercially and regulatorily, </w:t>
      </w:r>
      <w:r>
        <w:rPr>
          <w:b/>
          <w:bCs/>
        </w:rPr>
        <w:t xml:space="preserve">it is already validated in IBD</w:t>
      </w:r>
      <w:r>
        <w:t xml:space="preserve">: mirikizumab (Omvoh) is FDA-approved in UC (2023) and Crohn's (2025) with four-year durability data, risankizumab (Skyrizi) is approved in Crohn's and UC, and guselkumab is approved — three agents with broadly comparable efficacy.</w:t>
      </w:r>
      <w:r>
        <w:rPr>
          <w:rStyle w:val="FootnoteReference"/>
        </w:rPr>
        <w:footnoteReference w:id="8"/>
      </w:r>
      <w:r>
        <w:t xml:space="preserve"> So of the two arms in a TL1A×IL-23p19 bispecific, </w:t>
      </w:r>
      <w:r>
        <w:rPr>
          <w:b/>
          <w:bCs/>
        </w:rPr>
        <w:t xml:space="preserve">one is fully de-risked</w:t>
      </w:r>
      <w:r>
        <w:t xml:space="preserve"> (IL-23p19 — approved, durable), </w:t>
      </w:r>
      <w:r>
        <w:rPr>
          <w:b/>
          <w:bCs/>
        </w:rPr>
        <w:t xml:space="preserve">one is partially de-risked</w:t>
      </w:r>
      <w:r>
        <w:t xml:space="preserve"> (TL1A — positive Phase 2, now in Phase 3 but not yet approved), and </w:t>
      </w:r>
      <w:r>
        <w:rPr>
          <w:b/>
          <w:bCs/>
        </w:rPr>
        <w:t xml:space="preserve">the combination itself is the only unproven element.</w:t>
      </w:r>
      <w:r>
        <w:t xml:space="preserve"> The work still to be done is the additive-efficacy readout — not the validation of either pathway alone.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The testable conclusion. </w:t>
            </w:r>
            <w:r>
              <w:t xml:space="preserve">If the engagement-to-remission gap is caused by a non-overlapping IL-23-dependent escape pathway, then blocking both pathways with one molecule should convert engagement into remission — the basis for the 30-40% deep-remission hypothesis. It is falsifiable: if dual blockade does not beat the best monospecific, the thesis fails. RO7837195 (a p40×TL1A bispecific) and MT-251 are the first programs positioned to test it; neither has reported additive efficacy yet.</w:t>
            </w:r>
          </w:p>
        </w:tc>
      </w:tr>
    </w:tbl>
    <w:p>
      <w:pPr>
        <w:pStyle w:val="Heading1"/>
      </w:pPr>
      <w:r>
        <w:t xml:space="preserve">3 · Competition &amp; head-to-head data</w:t>
      </w:r>
    </w:p>
    <w:p>
      <w:pPr>
        <w:spacing w:after="120"/>
      </w:pPr>
      <w:r>
        <w:t xml:space="preserve">Owner = originator. Stages reflect a June 2026 reconciliation against ClinicalTrials.gov and company disclosures. Bold rows are TL1A×IL-23 bispecifics.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50"/>
        <w:gridCol w:w="1050"/>
        <w:gridCol w:w="1450"/>
        <w:gridCol w:w="2510"/>
        <w:gridCol w:w="1200"/>
      </w:tblGrid>
      <w:tr>
        <w:trPr>
          <w:tblHeader/>
        </w:trPr>
        <w:tc>
          <w:tcPr>
            <w:tcW w:type="dxa" w:w="1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4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Originator</w:t>
            </w:r>
          </w:p>
        </w:tc>
        <w:tc>
          <w:tcPr>
            <w:tcW w:type="dxa" w:w="1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14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5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Format / target</w:t>
            </w:r>
          </w:p>
        </w:tc>
        <w:tc>
          <w:tcPr>
            <w:tcW w:type="dxa" w:w="12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Prometheus</w:t>
            </w:r>
          </w:p>
        </w:tc>
        <w:tc>
          <w:tcPr>
            <w:tcW w:type="dxa" w:w="1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Merck</w:t>
            </w:r>
          </w:p>
        </w:tc>
        <w:tc>
          <w:tcPr>
            <w:tcW w:type="dxa" w:w="2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 (+ companion Dx)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2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duvakitug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Teva</w:t>
            </w:r>
          </w:p>
        </w:tc>
        <w:tc>
          <w:tcPr>
            <w:tcW w:type="dxa" w:w="1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Sanofi</w:t>
            </w:r>
          </w:p>
        </w:tc>
        <w:tc>
          <w:tcPr>
            <w:tcW w:type="dxa" w:w="2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6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afimkibart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Roche/Telavant</w:t>
            </w:r>
          </w:p>
        </w:tc>
        <w:tc>
          <w:tcPr>
            <w:tcW w:type="dxa" w:w="1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</w:t>
            </w:r>
          </w:p>
        </w:tc>
        <w:tc>
          <w:tcPr>
            <w:tcW w:type="dxa" w:w="2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4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ABBV-701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FutureGen</w:t>
            </w:r>
          </w:p>
        </w:tc>
        <w:tc>
          <w:tcPr>
            <w:tcW w:type="dxa" w:w="1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AbbVie</w:t>
            </w:r>
          </w:p>
        </w:tc>
        <w:tc>
          <w:tcPr>
            <w:tcW w:type="dxa" w:w="2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 (monospecific)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11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RO7837195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</w:t>
            </w:r>
          </w:p>
        </w:tc>
        <w:tc>
          <w:tcPr>
            <w:tcW w:type="dxa" w:w="1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Pfizer</w:t>
            </w:r>
          </w:p>
        </w:tc>
        <w:tc>
          <w:tcPr>
            <w:tcW w:type="dxa" w:w="2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IL-23p40 × TL1A bispecific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9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MT-251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Mirador</w:t>
            </w:r>
          </w:p>
        </w:tc>
        <w:tc>
          <w:tcPr>
            <w:tcW w:type="dxa" w:w="1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2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 × IL-23 bispecific (long-acting)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10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XmAb412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Xencor</w:t>
            </w:r>
          </w:p>
        </w:tc>
        <w:tc>
          <w:tcPr>
            <w:tcW w:type="dxa" w:w="1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Precl.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2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 × IL-23p19 bispecific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7"/>
            </w:r>
          </w:p>
        </w:tc>
      </w:tr>
    </w:tbl>
    <w:p>
      <w:pPr>
        <w:pStyle w:val="Heading2"/>
      </w:pPr>
      <w:r>
        <w:t xml:space="preserve">Efficacy — Phase 2 induction in patients (not head-to-head)</w:t>
      </w:r>
    </w:p>
    <w:p>
      <w:pPr>
        <w:spacing w:after="120"/>
      </w:pPr>
      <w:r>
        <w:t xml:space="preserve">All figures below are </w:t>
      </w:r>
      <w:r>
        <w:rPr>
          <w:b/>
          <w:bCs/>
        </w:rPr>
        <w:t xml:space="preserve">Phase 2 induction data in IBD patients</w:t>
      </w:r>
      <w:r>
        <w:t xml:space="preserve"> (Week 12-14 clinical remission), each from a separate trial — different endpoints, populations and sizes, so these are directional, not a head-to-head comparison.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250"/>
        <w:gridCol w:w="1300"/>
        <w:gridCol w:w="1250"/>
        <w:gridCol w:w="3910"/>
      </w:tblGrid>
      <w:tr>
        <w:trPr>
          <w:tblHeader/>
        </w:trPr>
        <w:tc>
          <w:tcPr>
            <w:tcW w:type="dxa" w:w="16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2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Remission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Placebo</w:t>
            </w:r>
          </w:p>
        </w:tc>
        <w:tc>
          <w:tcPr>
            <w:tcW w:type="dxa" w:w="12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Placebo-adj.</w:t>
            </w:r>
          </w:p>
        </w:tc>
        <w:tc>
          <w:tcPr>
            <w:tcW w:type="dxa" w:w="39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16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duvakitug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37% (UC)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13%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+24pp</w:t>
            </w:r>
          </w:p>
        </w:tc>
        <w:tc>
          <w:tcPr>
            <w:tcW w:type="dxa" w:w="39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strongest TL1A Ph2 signal; CD 43%</w:t>
            </w:r>
          </w:p>
        </w:tc>
      </w:tr>
      <w:tr>
        <w:trPr>
          <w:tblHeader w:val="false"/>
        </w:trPr>
        <w:tc>
          <w:tcPr>
            <w:tcW w:type="dxa" w:w="16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tulisokibart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26% (UC)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1%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+25pp</w:t>
            </w:r>
          </w:p>
        </w:tc>
        <w:tc>
          <w:tcPr>
            <w:tcW w:type="dxa" w:w="39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biomarker-positive subgroup 32% vs 11%</w:t>
            </w:r>
          </w:p>
        </w:tc>
      </w:tr>
      <w:tr>
        <w:trPr>
          <w:tblHeader w:val="false"/>
        </w:trPr>
        <w:tc>
          <w:tcPr>
            <w:tcW w:type="dxa" w:w="16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afimkibart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30-35%*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12%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+18-23pp</w:t>
            </w:r>
          </w:p>
        </w:tc>
        <w:tc>
          <w:tcPr>
            <w:tcW w:type="dxa" w:w="39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*modified-Mayo (secondary); see below</w:t>
            </w:r>
          </w:p>
        </w:tc>
      </w:tr>
    </w:tbl>
    <w:p>
      <w:pPr>
        <w:spacing w:after="120"/>
      </w:pPr>
      <w:r>
        <w:rPr>
          <w:b/>
          <w:bCs/>
        </w:rPr>
        <w:t xml:space="preserve">Reading the afimkibart 'miss' correctly. </w:t>
      </w:r>
      <w:r>
        <w:t xml:space="preserve">TUSCANY-2 is widely described as a failure, but the detail matters and is instructive. Its </w:t>
      </w:r>
      <w:r>
        <w:rPr>
          <w:b/>
          <w:bCs/>
        </w:rPr>
        <w:t xml:space="preserve">primary</w:t>
      </w:r>
      <w:r>
        <w:t xml:space="preserve"> endpoint — clinical remission by </w:t>
      </w:r>
      <w:r>
        <w:rPr>
          <w:b/>
          <w:bCs/>
        </w:rPr>
        <w:t xml:space="preserve">total</w:t>
      </w:r>
      <w:r>
        <w:t xml:space="preserve"> Mayo score — was not statistically significant (26/23/24% across doses vs 12% placebo). Its </w:t>
      </w:r>
      <w:r>
        <w:rPr>
          <w:b/>
          <w:bCs/>
        </w:rPr>
        <w:t xml:space="preserve">secondary</w:t>
      </w:r>
      <w:r>
        <w:t xml:space="preserve"> endpoint using the </w:t>
      </w:r>
      <w:r>
        <w:rPr>
          <w:b/>
          <w:bCs/>
        </w:rPr>
        <w:t xml:space="preserve">modified</w:t>
      </w:r>
      <w:r>
        <w:t xml:space="preserve"> Mayo score — the endpoint tulisokibart, duvakitug and the FDA now use — </w:t>
      </w:r>
      <w:r>
        <w:rPr>
          <w:b/>
          <w:bCs/>
        </w:rPr>
        <w:t xml:space="preserve">was</w:t>
      </w:r>
      <w:r>
        <w:t xml:space="preserve"> significant (30/35/32% vs 12%).</w:t>
      </w:r>
      <w:r>
        <w:rPr>
          <w:rStyle w:val="FootnoteReference"/>
        </w:rPr>
        <w:footnoteReference w:id="4"/>
      </w:r>
      <w:r>
        <w:t xml:space="preserve"> The lesson is not that the mechanism failed; it is that </w:t>
      </w:r>
      <w:r>
        <w:rPr>
          <w:b/>
          <w:bCs/>
        </w:rPr>
        <w:t xml:space="preserve">endpoint choice can decide whether a trial reads as success or failure</w:t>
      </w:r>
      <w:r>
        <w:t xml:space="preserve">, and that afimkibart's true efficacy is in the same band as its competitors. Roche is continuing development on that basis.</w:t>
      </w:r>
    </w:p>
    <w:p>
      <w:pPr>
        <w:pStyle w:val="Heading2"/>
      </w:pPr>
      <w:r>
        <w:t xml:space="preserve">Pharmacokinetics &amp; format — and the model behind each number</w:t>
      </w:r>
    </w:p>
    <w:p>
      <w:pPr>
        <w:spacing w:after="120"/>
      </w:pPr>
      <w:r>
        <w:t xml:space="preserve">Half-life data come from different development stages; that context is essential to reading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300"/>
        <w:gridCol w:w="1250"/>
        <w:gridCol w:w="5060"/>
      </w:tblGrid>
      <w:tr>
        <w:trPr>
          <w:tblHeader/>
        </w:trPr>
        <w:tc>
          <w:tcPr>
            <w:tcW w:type="dxa" w:w="18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Half-life</w:t>
            </w:r>
          </w:p>
        </w:tc>
        <w:tc>
          <w:tcPr>
            <w:tcW w:type="dxa" w:w="12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50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XmAb942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~74 d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 healthy volunteers</w:t>
            </w:r>
          </w:p>
        </w:tc>
        <w:tc>
          <w:tcPr>
            <w:tcW w:type="dxa" w:w="5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format/half-life benchmark; supports ~Q12W SC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SPY002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~37 d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 / early clinical</w:t>
            </w:r>
          </w:p>
        </w:tc>
        <w:tc>
          <w:tcPr>
            <w:tcW w:type="dxa" w:w="5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half-life-extended SC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tulisokibart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~27 d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Phase 2 patients</w:t>
            </w:r>
          </w:p>
        </w:tc>
        <w:tc>
          <w:tcPr>
            <w:tcW w:type="dxa" w:w="5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intravenous — a payer/convenience disadvantage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RO7837195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 d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Phase 2 patients</w:t>
            </w:r>
          </w:p>
        </w:tc>
        <w:tc>
          <w:tcPr>
            <w:tcW w:type="dxa" w:w="5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bispecific PK in humans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duvakitug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~14 d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Phase 2 patients</w:t>
            </w:r>
          </w:p>
        </w:tc>
        <w:tc>
          <w:tcPr>
            <w:tcW w:type="dxa" w:w="5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intravenous</w:t>
            </w:r>
          </w:p>
        </w:tc>
      </w:tr>
    </w:tbl>
    <w:p>
      <w:pPr>
        <w:spacing w:after="120"/>
      </w:pPr>
      <w:r>
        <w:rPr>
          <w:b/>
          <w:bCs/>
        </w:rPr>
        <w:t xml:space="preserve">What this shows. </w:t>
      </w:r>
      <w:r>
        <w:t xml:space="preserve">Efficacy leadership (duvakitug, 37%) and stage leadership (tulisokibart) currently sit with intravenous agents, while the format frontier is moving to long-acting subcutaneous dosing. An asset that combines additive efficacy with an XmAb942-class half-life and SC delivery would lead on both axes at once — a profile none has yet demonstrated.</w:t>
      </w:r>
      <w:r>
        <w:rPr>
          <w:rStyle w:val="FootnoteReference"/>
        </w:rPr>
        <w:footnoteReference w:id="7"/>
      </w:r>
    </w:p>
    <w:p>
      <w:pPr>
        <w:pStyle w:val="Heading2"/>
      </w:pPr>
      <w:r>
        <w:t xml:space="preserve">Biomarkers — a strategy, stated honestly</w:t>
      </w:r>
    </w:p>
    <w:p>
      <w:pPr>
        <w:spacing w:after="120"/>
      </w:pPr>
      <w:r>
        <w:t xml:space="preserve">Three biomarker tiers operate here: </w:t>
      </w:r>
      <w:r>
        <w:rPr>
          <w:b/>
          <w:bCs/>
        </w:rPr>
        <w:t xml:space="preserve">predictive / companion-diagnostic</w:t>
      </w:r>
      <w:r>
        <w:t xml:space="preserve"> (e.g., the genetic response signature used in the tulisokibart program); </w:t>
      </w:r>
      <w:r>
        <w:rPr>
          <w:b/>
          <w:bCs/>
        </w:rPr>
        <w:t xml:space="preserve">escape markers</w:t>
      </w:r>
      <w:r>
        <w:t xml:space="preserve"> (Oncostatin M / the OSM-OSMR axis); and </w:t>
      </w:r>
      <w:r>
        <w:rPr>
          <w:b/>
          <w:bCs/>
        </w:rPr>
        <w:t xml:space="preserve">pharmacodynamic monitoring</w:t>
      </w:r>
      <w:r>
        <w:t xml:space="preserve"> (soluble TL1A, fecal calprotectin, CRP).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A direction worth pursuing, not a claim of fact. </w:t>
            </w:r>
            <w:r>
              <w:t xml:space="preserve">High mucosal OSM is associated with non-response to anti-TNF and other single-cytokine blockade in IBD</w:t>
            </w:r>
            <w:r>
              <w:rPr>
                <w:rStyle w:val="FootnoteReference"/>
              </w:rPr>
              <w:footnoteReference w:id="14"/>
            </w:r>
            <w:r>
              <w:t xml:space="preserve">. That makes OSM a </w:t>
            </w:r>
            <w:r>
              <w:rPr>
                <w:b/>
                <w:bCs/>
              </w:rPr>
              <w:t xml:space="preserve">rational selection marker</w:t>
            </w:r>
            <w:r>
              <w:t xml:space="preserve"> for identifying the escape population a TL1A monotherapy leaves behind — and a strategy a dual-blockade asset could build around to target patients a companion-diagnostic-enriched monotherapy excludes. This is a hypothesis the biology supports, not a validated companion diagnostic; pursuing it would give a BD team and a development team a concrete way to define and own an addressable segment.</w:t>
            </w:r>
          </w:p>
        </w:tc>
      </w:tr>
    </w:tbl>
    <w:p>
      <w:pPr>
        <w:pStyle w:val="Heading1"/>
      </w:pPr>
      <w:r>
        <w:t xml:space="preserve">4 · Molecular design &amp; manufacturing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Half-life engineering. </w:t>
      </w:r>
      <w:r>
        <w:t xml:space="preserve">XmAb942 (~74 d) shows Fc/FcRn optimization can roughly triple a native antibody's half-life; MT-251 is built on pH-sensitive binding + FcRn recycling for the same end. A bispecific that does not match this loses on convenience even at efficacy parity.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Format &amp; valency. </w:t>
      </w:r>
      <w:r>
        <w:t xml:space="preserve">Approaches span IgG-like dual-targeting antibodies, single-domain (VHH) constructs, and fixed combinations of two separate antibodies (e.g., Spyre's SPY230 = SPY002 + SPY003). A single molecule wins on payer story and cost of goods; a combination is faster to the clinic but carries two-asset cost and complexity.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Arm selection (p19 vs p40). </w:t>
      </w:r>
      <w:r>
        <w:t xml:space="preserve">p19 preserves IL-12/Th1 immunity and inherits the approved mirikizumab/risankizumab precedent; p40 (RO7837195) also blocks IL-12 — broader, but with the redundancy and historical safety questions of the ustekinumab era.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The manufacturing reality. </w:t>
      </w:r>
      <w:r>
        <w:t xml:space="preserve">Single-molecule bispecifics carry materially higher CMC complexity than a monoclonal antibody — chain mispairing, aggregation, lower yields, harder comparability. This is a cost and timeline burden, and part of why the bispecific clinic is still thin despite obvious interest.</w:t>
      </w:r>
    </w:p>
    <w:p>
      <w:pPr>
        <w:pStyle w:val="Heading1"/>
      </w:pPr>
      <w:r>
        <w:t xml:space="preserve">5 · Safety &amp; immunogenicity</w:t>
      </w:r>
    </w:p>
    <w:p>
      <w:pPr>
        <w:spacing w:after="120"/>
      </w:pPr>
      <w:r>
        <w:t xml:space="preserve">For a dual-immunosuppression strategy, safety carries as much weight as efficacy. The backdrop is encouraging for specific, evidenced reasons: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The IL-23p19 arm is reassuring. </w:t>
      </w:r>
      <w:r>
        <w:t xml:space="preserve">The anti-IL-23p19 class (risankizumab, mirikizumab, guselkumab) has, across large approved programs, shown low rates of serious infection and no malignancy signal — a cleaner profile than anti-TNF. The IL-23 arm therefore adds efficacy without importing the safety cost of older mechanisms.</w:t>
      </w:r>
      <w:r>
        <w:rPr>
          <w:rStyle w:val="FootnoteReference"/>
        </w:rPr>
        <w:footnoteReference w:id="8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The TL1A arm has held up so far. </w:t>
      </w:r>
      <w:r>
        <w:t xml:space="preserve">Through 50 weeks in ARTEMIS-UC, tulisokibart showed no new safety signals: infections were predominantly upper-respiratory (Week-50 rates 37% at 100mg, 46% at 250mg), with no serious infections and no discontinuations due to infection.</w:t>
      </w:r>
      <w:r>
        <w:rPr>
          <w:rStyle w:val="FootnoteReference"/>
        </w:rPr>
        <w:footnoteReference w:id="3"/>
      </w:r>
    </w:p>
    <w:p>
      <w:pPr>
        <w:spacing w:after="120"/>
      </w:pPr>
      <w:r>
        <w:rPr>
          <w:b/>
          <w:bCs/>
        </w:rPr>
        <w:t xml:space="preserve">The open question. </w:t>
      </w:r>
      <w:r>
        <w:t xml:space="preserve">Whether blocking TL1A and IL-23 simultaneously raises infection risk beyond either alone is genuinely unknown — there is no human dual-blockade safety dataset yet. The biology gives reason for cautious optimism (the pathways are partly non-overlapping and IL-23 blockade is well tolerated), but this is the first endpoint a partner's diligence will examine, and it will not be settled until the bispecifics read out.</w:t>
      </w:r>
    </w:p>
    <w:p>
      <w:pPr>
        <w:pStyle w:val="Heading1"/>
      </w:pPr>
      <w:r>
        <w:t xml:space="preserve">6 · What investigators are presenting (ECCO / DDW)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Duvakitug — ECCO 2025, oral OP41: </w:t>
      </w:r>
      <w:r>
        <w:t xml:space="preserve">37% vs 13% UC remission, the strongest TL1A Phase 2 signal to date and the basis for Sanofi advancing to Phase 3.</w:t>
      </w:r>
      <w:r>
        <w:rPr>
          <w:rStyle w:val="FootnoteReference"/>
        </w:rPr>
        <w:footnoteReference w:id="6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Tulisokibart — NEJM 2024 + ECCO/DDW 2024-26: </w:t>
      </w:r>
      <w:r>
        <w:t xml:space="preserve">26% vs 1% induction remission, a genetic companion diagnostic, and 50-week durability/safety — Merck is assembling the long-term dossier a bispecific must out-position.</w:t>
      </w:r>
      <w:r>
        <w:rPr>
          <w:rStyle w:val="FootnoteReference"/>
        </w:rPr>
        <w:footnoteReference w:id="2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Afimkibart — Lancet Gastro Hep 2025 + ECCO 2026 proteomics: </w:t>
      </w:r>
      <w:r>
        <w:t xml:space="preserve">the total-vs-modified-Mayo story above, plus mechanistic confirmation of Th17/myeloid/fibrotic downregulation.</w:t>
      </w:r>
      <w:r>
        <w:rPr>
          <w:rStyle w:val="FootnoteReference"/>
        </w:rPr>
        <w:footnoteReference w:id="5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XmAb942 — DDW/ECCO 2026: </w:t>
      </w:r>
      <w:r>
        <w:t xml:space="preserve">a ~74-day half-life anti-TL1A, the format benchmark for the class.</w:t>
      </w:r>
      <w:r>
        <w:rPr>
          <w:rStyle w:val="FootnoteReference"/>
        </w:rPr>
        <w:footnoteReference w:id="7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RO7837195 — ECCO 2026: </w:t>
      </w:r>
      <w:r>
        <w:t xml:space="preserve">the first clinical data for a TL1A×IL-23 bispecific format in IBD — evidence the format is clinically feasible.</w:t>
      </w:r>
      <w:r>
        <w:rPr>
          <w:rStyle w:val="FootnoteReference"/>
        </w:rPr>
        <w:footnoteReference w:id="9"/>
      </w:r>
    </w:p>
    <w:p>
      <w:pPr>
        <w:pStyle w:val="Heading1"/>
      </w:pPr>
      <w:r>
        <w:t xml:space="preserve">7 · Catalysts &amp; how to read the forecasts</w:t>
      </w:r>
    </w:p>
    <w:p>
      <w:pPr>
        <w:spacing w:after="120"/>
      </w:pPr>
      <w:r>
        <w:t xml:space="preserve">The near-term events that move the landscape, with what each one would tell us and a calibrated probability. A probability is only useful if its reasoning is visible, so the logic is shown.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350"/>
        <w:gridCol w:w="1550"/>
        <w:gridCol w:w="3510"/>
      </w:tblGrid>
      <w:tr>
        <w:trPr>
          <w:tblHeader/>
        </w:trPr>
        <w:tc>
          <w:tcPr>
            <w:tcW w:type="dxa" w:w="29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Window</w:t>
            </w:r>
          </w:p>
        </w:tc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35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tests / why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SPY002 SKYLINE-UC Part A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~mid-2026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~55-65% positive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resets the monospecific induction bar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 ATLAS-UC topline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~Q4 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~65-75% positive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confirms (or not) the Ph2 signal at Ph3 scale — sets the efficacy bar a bispecific must beat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RO7837195 / MT-251 bispecific reads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2026-2027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data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first direct tests of additive efficacy — the thesis stands or falls here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ABBV-701 Phase 1 readout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~late 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~70-80% clean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de-risks the anti-TL1A arm; informs AbbVie's posture</w:t>
            </w:r>
          </w:p>
        </w:tc>
      </w:tr>
    </w:tbl>
    <w:p>
      <w:pPr>
        <w:spacing w:after="120"/>
      </w:pPr>
      <w:r>
        <w:rPr>
          <w:b/>
          <w:bCs/>
        </w:rPr>
        <w:t xml:space="preserve">How a forecast is built (worked example). </w:t>
      </w:r>
      <w:r>
        <w:t xml:space="preserve">ATLAS-UC ~70%: start from a ~50% base rate for a Phase 2-positive program confirming at Phase 3; add ~20 points because the Phase 2 effect was clear and the mechanism is established; add ~15 for Merck's execution and biomarker enrichment; subtract ~10 for the well-documented Phase 2-to-Phase 3 effect-size shrinkage in IBD; subtract ~5 for the operational complexity of a biomarker-stratified ~1,000-patient trial. The point of showing the components is that each can be revised as new data arrive, and the forecast can be scored later against what actually happened.</w:t>
      </w:r>
    </w:p>
    <w:p>
      <w:pPr>
        <w:pStyle w:val="Heading1"/>
      </w:pPr>
      <w:r>
        <w:t xml:space="preserve">8 · Value &amp; deal economics</w:t>
      </w:r>
    </w:p>
    <w:p>
      <w:pPr>
        <w:spacing w:after="120"/>
      </w:pPr>
      <w:r>
        <w:t xml:space="preserve">The addressable population is the biologic-failure IBD segment — roughly 40-45% of ~1.7M US patients — inside a $15B+ class. Value is not a single number; it is a function of which evidence travels with the first efficacy signal.</w:t>
      </w:r>
    </w:p>
    <w:p>
      <w:pPr>
        <w:pStyle w:val="Heading2"/>
      </w:pPr>
      <w:r>
        <w:t xml:space="preserve">Comparable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350"/>
        <w:gridCol w:w="1300"/>
        <w:gridCol w:w="1300"/>
        <w:gridCol w:w="306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Deal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Upfront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0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Terms / read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Merck–Prometheus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$10.8B*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$10.8B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 + Dx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*acquisition — the ceiling for de-risked anti-TL1A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Roche–Telavant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$7.1B*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$7.25B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pre-Ph3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*acquisition; US+Japan rights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Sanofi–Earendil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$125M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~$2.5B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 bispecific floor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Teva–Sanofi (duvakitug)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$500M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~$1.5B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50/50 cost &amp; profit share, royalties ex-major-markets</w:t>
            </w:r>
          </w:p>
        </w:tc>
      </w:tr>
    </w:tbl>
    <w:p>
      <w:pPr>
        <w:spacing w:after="120"/>
      </w:pPr>
      <w:r>
        <w:t xml:space="preserve">These are the anchors a TL1A/IL-23 asset is valued against.</w:t>
      </w:r>
      <w:r>
        <w:rPr>
          <w:rStyle w:val="FootnoteReference"/>
        </w:rPr>
        <w:footnoteReference w:id="12"/>
      </w:r>
      <w:r>
        <w:rPr>
          <w:rStyle w:val="FootnoteReference"/>
        </w:rPr>
        <w:footnoteReference w:id="6"/>
      </w:r>
      <w:r>
        <w:t xml:space="preserve"> A licensing structure for a clinical-stage bispecific would plausibly carry a $75-200M upfront, $1.5-3B in milestones, low-to-mid double-digit royalties, and a cost/profit-share in major markets — the duvakitug template.</w:t>
      </w:r>
    </w:p>
    <w:p>
      <w:pPr>
        <w:pStyle w:val="Heading2"/>
      </w:pPr>
      <w:r>
        <w:t xml:space="preserve">The same efficacy event, very different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0"/>
        <w:gridCol w:w="2960"/>
      </w:tblGrid>
      <w:tr>
        <w:trPr>
          <w:tblHeader/>
        </w:trPr>
        <w:tc>
          <w:tcPr>
            <w:tcW w:type="dxa" w:w="44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 (given a first additive-efficacy signal)</w:t>
            </w:r>
          </w:p>
        </w:tc>
        <w:tc>
          <w:tcPr>
            <w:tcW w:type="dxa" w:w="2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 range</w:t>
            </w:r>
          </w:p>
        </w:tc>
        <w:tc>
          <w:tcPr>
            <w:tcW w:type="dxa" w:w="29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Driver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best-in-class SC profile + clean safety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$8-12B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efficacy AND convenience/safety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an infection or immunogenicity signal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$3-6B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 discount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manufacturing / CMC problems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$2-5B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supply risk caps the multiple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 additive efficacy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&lt; $1B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reverts to a crowded monospecific-adjacent asset</w:t>
            </w:r>
          </w:p>
        </w:tc>
      </w:tr>
    </w:tbl>
    <w:p>
      <w:pPr>
        <w:spacing w:after="120"/>
      </w:pPr>
      <w:r>
        <w:rPr>
          <w:b/>
          <w:bCs/>
        </w:rPr>
        <w:t xml:space="preserve">The conclusion the economics force. </w:t>
      </w:r>
      <w:r>
        <w:t xml:space="preserve">The value inflection is the first credible additive-efficacy signal — but the multiple it earns is set by the </w:t>
      </w:r>
      <w:r>
        <w:rPr>
          <w:b/>
          <w:bCs/>
        </w:rPr>
        <w:t xml:space="preserve">evidence bundle around it</w:t>
      </w:r>
      <w:r>
        <w:t xml:space="preserve"> (safety, format, CMC), not by the remission number alone.</w:t>
      </w:r>
    </w:p>
    <w:p>
      <w:pPr>
        <w:pStyle w:val="Heading1"/>
      </w:pPr>
      <w:r>
        <w:t xml:space="preserve">9 · Competitive geography</w:t>
      </w:r>
    </w:p>
    <w:p>
      <w:pPr>
        <w:spacing w:after="120"/>
      </w:pPr>
      <w:r>
        <w:t xml:space="preserve">A structural feature Western-centric analyses miss: the TL1A×IL-23 bispecific field is </w:t>
      </w:r>
      <w:r>
        <w:rPr>
          <w:b/>
          <w:bCs/>
        </w:rPr>
        <w:t xml:space="preserve">disproportionately China-originated</w:t>
      </w:r>
      <w:r>
        <w:t xml:space="preserve"> — LaNova (LQ080, out-licensed ex-China to Zymeworks), Simcere (SIM0709, to Boehringer Ingelheim), plus NovaMab, Elpiscience, Biocad and Qyuns. The dominant deal pattern is a Western pharma licensing-in a China-originated bispecific (the BI–Simcere precedent). For any asset in this space, the implication is that the competitive set — and the likely acquirers — are global, and that Western-quality data packages and clear IP are what convert a China-originated molecule into a premium transaction.</w:t>
      </w:r>
    </w:p>
    <w:p>
      <w:pPr>
        <w:pStyle w:val="Heading1"/>
      </w:pPr>
      <w:r>
        <w:t xml:space="preserve">10 · Scenarios &amp; what could go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300"/>
        <w:gridCol w:w="3380"/>
      </w:tblGrid>
      <w:tr>
        <w:trPr>
          <w:tblHeader/>
        </w:trPr>
        <w:tc>
          <w:tcPr>
            <w:tcW w:type="dxa" w:w="46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Scenario (ATLAS-UC × first bispecific signal)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Prob.</w:t>
            </w:r>
          </w:p>
        </w:tc>
        <w:tc>
          <w:tcPr>
            <w:tcW w:type="dxa" w:w="33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 — both positive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~45%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bispecific premium rises; partnering urgency increases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 — ATLAS hits, bispecific disappoints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monospecific dominance reinforced; bispecific thesis weakened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 — ATLAS misses, bispecific positive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~10%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re-rating toward dual blockade; largest upside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 — both disappoint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class-wide doubt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B91C1C" w:sz="18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The scenario that destroys value. </w:t>
            </w:r>
            <w:r>
              <w:t xml:space="preserve">If the first bispecific reads (RO7837195, MT-251) show no additive efficacy over monospecifics, and ATLAS-UC succeeds (making tulisokibart standard of care), then a bispecific that does not beat a single antibody has no buyer — and a preclinical entrant's value approaches zero. This is the ~25% Scenario-B world. The defense is a clinical design that reads additive efficacy early and cheaply (a focused Ph1b proof-of-concept), so a program can stop or pivot before committing Phase 2 capital.</w:t>
            </w:r>
          </w:p>
        </w:tc>
      </w:tr>
    </w:tbl>
    <w:p>
      <w:pPr>
        <w:spacing w:after="120"/>
      </w:pPr>
      <w:r>
        <w:rPr>
          <w:b/>
          <w:bCs/>
        </w:rPr>
        <w:t xml:space="preserve">Second-order effects worth tracking. </w:t>
      </w:r>
      <w:r>
        <w:t xml:space="preserve">The value is often in the reaction, not the event. If ATLAS-UC hits: Merck gains pricing/negotiating leverage and sets the UC anchor → time-pressured buyers (e.g., those facing biosimilar erosion) feel more urgency → holders of monospecific assets reposition on safety/convenience → integrated players accelerate their own programs. The practical read is that the most active business-development window tends to open 3-6 months </w:t>
      </w:r>
      <w:r>
        <w:rPr>
          <w:b/>
          <w:bCs/>
        </w:rPr>
        <w:t xml:space="preserve">after</w:t>
      </w:r>
      <w:r>
        <w:t xml:space="preserve"> a defining readout, when the pressure is felt but the next question is still open.</w:t>
      </w:r>
    </w:p>
    <w:p>
      <w:pPr>
        <w:pStyle w:val="Heading1"/>
      </w:pPr>
      <w:r>
        <w:t xml:space="preserve">11 · Diligence checklist (asset-level data)</w:t>
      </w:r>
    </w:p>
    <w:p>
      <w:pPr>
        <w:spacing w:after="120"/>
      </w:pPr>
      <w:r>
        <w:t xml:space="preserve">The questions below are answered with a program's </w:t>
      </w:r>
      <w:r>
        <w:rPr>
          <w:b/>
          <w:bCs/>
        </w:rPr>
        <w:t xml:space="preserve">proprietary preclinical and CMC data</w:t>
      </w:r>
      <w:r>
        <w:t xml:space="preserve">, not from public intelligence. They are listed because they are the questions a partner presses first, and assembling clear answers in advance is what separates a smooth process from a stalled 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question</w:t>
            </w:r>
          </w:p>
        </w:tc>
        <w:tc>
          <w:tcPr>
            <w:tcW w:type="dxa" w:w="66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a strong answer looks like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NHP PK/PD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dual-arm target engagement additive in primate; half-life supporting ~Q12W SC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Tox / CRS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clean GI and lymphoid histology; no cytokine-release signal from simultaneous engagement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Immunogenicity (ADA)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engineered-bispecific ADA rate benchmarked to a low-ADA mAb (e.g., XmAb942); PK/efficacy impact modeled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CMC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DNA-to-tox-material timeline; expression titer (g/L); CDMO vs in-house; top failure modes de-risked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IP / freedom-to-operate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composition-of-matter filed; FTO cleared against the earlier TL1A patent estate</w:t>
            </w:r>
          </w:p>
        </w:tc>
      </w:tr>
    </w:tbl>
    <w:p>
      <w:pPr>
        <w:pStyle w:val="Heading1"/>
      </w:pPr>
      <w:r>
        <w:t xml:space="preserve">12 · Standing predictions</w:t>
      </w:r>
    </w:p>
    <w:p>
      <w:pPr>
        <w:spacing w:after="120"/>
      </w:pPr>
      <w:r>
        <w:t xml:space="preserve">Falsifiable calls with the confidence set in advance, scored against outcomes as they resolve. Value calls carry a range so the forecast can be graded — and improved — by learning where it was too high or too 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00"/>
        <w:gridCol w:w="1500"/>
        <w:gridCol w:w="1760"/>
      </w:tblGrid>
      <w:tr>
        <w:trPr>
          <w:tblHeader/>
        </w:trPr>
        <w:tc>
          <w:tcPr>
            <w:tcW w:type="dxa" w:w="46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Prediction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17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Resolves by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 ATLAS-UC meets its primary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65-75%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Mar 2027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TL1A×IL-23p19 bispecific human efficacy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55-65%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Dec 2027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p19-bispecific deal: total value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asset value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$1.5-3B (≥$1.5B ~70%)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Dec 2027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major licenses-in a China-origin bispecific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deal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~50-60%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Dec 2027</w:t>
            </w:r>
          </w:p>
        </w:tc>
      </w:tr>
    </w:tbl>
    <w:p>
      <w:pPr>
        <w:spacing w:after="120"/>
      </w:pPr>
      <w:r>
        <w:rPr>
          <w:b/>
          <w:bCs/>
        </w:rPr>
        <w:t xml:space="preserve">Why ranges. </w:t>
      </w:r>
      <w:r>
        <w:t xml:space="preserve">A point probability hides what the forecaster actually believes. A range (and, for value, an explicit floor and band) makes the call gradeable: when it resolves, the gap between the estimate and the outcome shows whether the model was systematically high or low, and the decomposition above shows which driver to adjust.</w:t>
      </w:r>
    </w:p>
    <w:p>
      <w:pPr>
        <w:pStyle w:val="Heading1"/>
      </w:pPr>
      <w:r>
        <w:t xml:space="preserve">Sources</w:t>
      </w:r>
    </w:p>
    <w:p>
      <w:pPr>
        <w:spacing w:after="120"/>
      </w:pPr>
      <w:r>
        <w:t xml:space="preserve">Every figure in this brief is footnoted; each footnote links to the primary source — ClinicalTrials.gov, peer-reviewed journals (NEJM, Lancet Gastroenterology &amp; Hepatology), conference proceedings (ECCO, DDW), company investor disclosures, and deal filings. Where a claim is a hypothesis or an inference rather than a reported result, it is described as such in the text.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3"/>
        <w:szCs w:val="13"/>
      </w:rPr>
      <w:t xml:space="preserve">Source-traced · footnotes link to the primary source · Page </w:t>
    </w:r>
    <w:r>
      <w:rPr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3"/>
        <w:szCs w:val="13"/>
      </w:rPr>
      <w:t xml:space="preserve"> of </w:t>
    </w:r>
    <w:r>
      <w:rPr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IBD epidemiology &amp; burden — UC ~0.9-1.25M US, CD ~0.78M US; ~40-50% of patients fail or lose response to biologics within 5 years; deep-remission ceiling ~15-20% with current agents. Crohn's &amp; Colitis Foundation; published prevalence/burden literature.  </w:t>
      </w:r>
      <w:hyperlink w:history="1" r:id="rIdkuhson9tixvij1fvxjucu">
        <w:r>
          <w:rPr>
            <w:rStyle w:val="Hyperlink"/>
            <w:sz w:val="14"/>
            <w:szCs w:val="14"/>
          </w:rPr>
          <w:t xml:space="preserve">Crohn's &amp; Colitis Foundation ↗</w:t>
        </w:r>
      </w:hyperlink>
    </w:p>
  </w:footnote>
  <w:footnote w:id="2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Tulisokibart (MK-7240) ARTEMIS-UC Phase 2 induction, n=135: clinical remission 26% vs 1% placebo at Wk12 (Cohort 1, all-comers); 32% vs 11% in the genetic-biomarker-positive subgroup. Endpoint: modified Mayo. NEJM 2024.  </w:t>
      </w:r>
      <w:hyperlink w:history="1" r:id="rIdibty_4b2ry5fiburil6kt">
        <w:r>
          <w:rPr>
            <w:rStyle w:val="Hyperlink"/>
            <w:sz w:val="14"/>
            <w:szCs w:val="14"/>
          </w:rPr>
          <w:t xml:space="preserve">NEJM 2024 (ARTEMIS-UC) ↗</w:t>
        </w:r>
      </w:hyperlink>
    </w:p>
  </w:footnote>
  <w:footnote w:id="3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Tulisokibart 50-week safety (ARTEMIS-UC long-term, ECCO 2025 P0580): no new safety signals; infections predominantly upper-respiratory (Wk50 rate 37% [100mg] / 46% [250mg]); no serious infections; no discontinuations for infection.  </w:t>
      </w:r>
      <w:hyperlink w:history="1" r:id="rIdtky_4w_rx2mq1hwbbgkfh">
        <w:r>
          <w:rPr>
            <w:rStyle w:val="Hyperlink"/>
            <w:sz w:val="14"/>
            <w:szCs w:val="14"/>
          </w:rPr>
          <w:t xml:space="preserve">ECCO 2025 P0580 ↗</w:t>
        </w:r>
      </w:hyperlink>
    </w:p>
  </w:footnote>
  <w:footnote w:id="4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Afimkibart TUSCANY-2 Phase 2b (treat-through): PRIMARY endpoint (clinical remission, TOTAL Mayo) NOT significant — 50/150/450mg = 26/23/24% vs 12% placebo. SECONDARY endpoint (MODIFIED Mayo, the standard the field/FDA now uses) significant — 30/35/32% vs 12%. Lancet Gastroenterol Hepatol 2025.  </w:t>
      </w:r>
      <w:hyperlink w:history="1" r:id="rIdgjziatbkdryvnrvs4xzm8">
        <w:r>
          <w:rPr>
            <w:rStyle w:val="Hyperlink"/>
            <w:sz w:val="14"/>
            <w:szCs w:val="14"/>
          </w:rPr>
          <w:t xml:space="preserve">Lancet Gastro Hep 2025 (TUSCANY-2) ↗</w:t>
        </w:r>
      </w:hyperlink>
    </w:p>
  </w:footnote>
  <w:footnote w:id="5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Afimkibart serum proteomics (TUSCANY-2): downregulation of Th17, myeloid and fibrotic pathways — mechanistic confirmation of TL1A's role beyond inflammation. ECCO 2026 P0166.  </w:t>
      </w:r>
      <w:hyperlink w:history="1" r:id="rIddf6fdbr-uf0upy4as62dm">
        <w:r>
          <w:rPr>
            <w:rStyle w:val="Hyperlink"/>
            <w:sz w:val="14"/>
            <w:szCs w:val="14"/>
          </w:rPr>
          <w:t xml:space="preserve">ECCO 2026 P0166 ↗</w:t>
        </w:r>
      </w:hyperlink>
    </w:p>
  </w:footnote>
  <w:footnote w:id="6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Duvakitug (TEV-48574) RELIEVE Phase 2b: UC clinical remission 37% vs 13% placebo, CD 43%, Wk14. Deal (Oct 2023): Teva–Sanofi $500M upfront + up to $1B milestones; 50/50 development cost and profit/loss share in major markets, royalty arrangement elsewhere; Sanofi leads NA/Japan/Asia, Teva leads Europe/Israel. CT.gov NCT05013138.  </w:t>
      </w:r>
      <w:hyperlink w:history="1" r:id="rIdfi_bmz0klwferfxsqdbbb">
        <w:r>
          <w:rPr>
            <w:rStyle w:val="Hyperlink"/>
            <w:sz w:val="14"/>
            <w:szCs w:val="14"/>
          </w:rPr>
          <w:t xml:space="preserve">CT.gov NCT05013138 / Teva–Sanofi PR ↗</w:t>
        </w:r>
      </w:hyperlink>
    </w:p>
  </w:footnote>
  <w:footnote w:id="7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XmAb942 Phase 1 (HEALTHY VOLUNTEERS): ~74-day half-life, low immunogenicity — supports infrequent SC dosing. XmAb412 (the TL1A×IL-23p19 BISPECIFIC) is preclinical, FIH planned 2026. Xencor IR; DDW 2026 Mo1538 / ECCO 2026 P0984.  </w:t>
      </w:r>
      <w:hyperlink w:history="1" r:id="rIdrfvkz5zolxmepvurs9gka">
        <w:r>
          <w:rPr>
            <w:rStyle w:val="Hyperlink"/>
            <w:sz w:val="14"/>
            <w:szCs w:val="14"/>
          </w:rPr>
          <w:t xml:space="preserve">Xencor IR ↗</w:t>
        </w:r>
      </w:hyperlink>
    </w:p>
  </w:footnote>
  <w:footnote w:id="8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IL-23p19 is VALIDATED in IBD: mirikizumab (Omvoh, Lilly) FDA-approved UC (Oct 2023) + CD (Jan 2025), with 4-year durability (LUCENT-3); risankizumab (Skyrizi, AbbVie) approved CD + UC; guselkumab approved. Network meta-analyses show broadly comparable efficacy across the class. NEJM (mirikizumab, LUCENT) 2023.  </w:t>
      </w:r>
      <w:hyperlink w:history="1" r:id="rIdagwd7zaszvwm3yp4splgs">
        <w:r>
          <w:rPr>
            <w:rStyle w:val="Hyperlink"/>
            <w:sz w:val="14"/>
            <w:szCs w:val="14"/>
          </w:rPr>
          <w:t xml:space="preserve">NEJM 2023 (LUCENT) ↗</w:t>
        </w:r>
      </w:hyperlink>
    </w:p>
  </w:footnote>
  <w:footnote w:id="9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RO7837195 (Roche/Pfizer) — IL-23p40 × TL1A bispecific; first clinical data for the TL1A×IL-23 bispecific format in IBD, Phase 2 (ECCO 2026). CT.gov NCT06979336.  </w:t>
      </w:r>
      <w:hyperlink w:history="1" r:id="rIdsot7dylw0bvowqh-ivxis">
        <w:r>
          <w:rPr>
            <w:rStyle w:val="Hyperlink"/>
            <w:sz w:val="14"/>
            <w:szCs w:val="14"/>
          </w:rPr>
          <w:t xml:space="preserve">CT.gov NCT06979336 ↗</w:t>
        </w:r>
      </w:hyperlink>
    </w:p>
  </w:footnote>
  <w:footnote w:id="10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MT-251 (Mirador) — long-acting TL1A×IL-23 bispecific; Phase 1 first-in-human (healthy volunteers), San Diego, started Q1 2026; pH-sensitive antigen binding + FcRn recycling for extended half-life. CT.gov NCT07423299.  </w:t>
      </w:r>
      <w:hyperlink w:history="1" r:id="rIdkenlcobycbjc6juks-c2i">
        <w:r>
          <w:rPr>
            <w:rStyle w:val="Hyperlink"/>
            <w:sz w:val="14"/>
            <w:szCs w:val="14"/>
          </w:rPr>
          <w:t xml:space="preserve">CT.gov NCT07423299 ↗</w:t>
        </w:r>
      </w:hyperlink>
    </w:p>
  </w:footnote>
  <w:footnote w:id="11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ABBV-701 (FG-M701, originator FutureGen; AbbVie-licensed) is a MONOSPECIFIC anti-TL1A mAb, Phase 1 — used by AbbVie alongside SKYRIZI (IL-23), not a bispecific.  </w:t>
      </w:r>
      <w:hyperlink w:history="1" r:id="rIdy5mz4z7fmihze78i25wkf">
        <w:r>
          <w:rPr>
            <w:rStyle w:val="Hyperlink"/>
            <w:sz w:val="14"/>
            <w:szCs w:val="14"/>
          </w:rPr>
          <w:t xml:space="preserve">CT.gov (FG-M701) ↗</w:t>
        </w:r>
      </w:hyperlink>
    </w:p>
  </w:footnote>
  <w:footnote w:id="12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Deal comps: Merck–Prometheus acquisition $10.8B (2023; tulisokibart at Ph2 + companion diagnostic); Roche–Telavant acquisition $7.1B (2023; afimkibart, US+Japan rights); Sanofi–Earendil $125M upfront / up to $2.5B (2026; preclinical TL1A×IL-23 + integrin bispecifics).  </w:t>
      </w:r>
      <w:hyperlink w:history="1" r:id="rIdupdxwuwmmr9pxm1aecazx">
        <w:r>
          <w:rPr>
            <w:rStyle w:val="Hyperlink"/>
            <w:sz w:val="14"/>
            <w:szCs w:val="14"/>
          </w:rPr>
          <w:t xml:space="preserve">deal disclosures ↗</w:t>
        </w:r>
      </w:hyperlink>
    </w:p>
  </w:footnote>
  <w:footnote w:id="13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Field commentary — American College of Gastroenterology review, 'The Edge of a New Frontier: Anti-TL1A Monoclonal Antibodies for Ulcerative Colitis' (2024): frames anti-TL1A as a promising new class while noting remission rates remain modest and durability/positioning are unproven.  </w:t>
      </w:r>
      <w:hyperlink w:history="1" r:id="rId3t2g9o4gbnnuzsvffwpvk">
        <w:r>
          <w:rPr>
            <w:rStyle w:val="Hyperlink"/>
            <w:sz w:val="14"/>
            <w:szCs w:val="14"/>
          </w:rPr>
          <w:t xml:space="preserve">ACG review 2024 ↗</w:t>
        </w:r>
      </w:hyperlink>
    </w:p>
  </w:footnote>
  <w:footnote w:id="14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OSM/OSMR escape biology — high mucosal Oncostatin M is associated with non-response to anti-TNF and other cytokine blockade in IBD (West et al., Nature Medicine 2017 and subsequent work). This makes OSM a rational selection/escape marker for dual-pathway strategies — a hypothesis, not a proven companion diagnostic.  </w:t>
      </w:r>
      <w:hyperlink w:history="1" r:id="rIdl-nztvpgy5cfbr7s86dsz">
        <w:r>
          <w:rPr>
            <w:rStyle w:val="Hyperlink"/>
            <w:sz w:val="14"/>
            <w:szCs w:val="14"/>
          </w:rPr>
          <w:t xml:space="preserve">OSM/IBD literature (PubMed) ↗</w:t>
        </w:r>
      </w:hyperlink>
    </w:p>
  </w:footnote>
  <w:footnote w:id="15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Payer/access reality, UC: to be competitive a new agent generally must reach clinical remission ≥~35% (the anti-IL-23 benchmark); preferred placement favors &gt;50% Wk52 with mucosal healing, SC maintenance (Q8-Q12W), and safety comparable to the anti-IL-23 class.  </w:t>
      </w:r>
      <w:hyperlink w:history="1" r:id="rIdpnqpcvttg8nkec9iwymle">
        <w:r>
          <w:rPr>
            <w:rStyle w:val="Hyperlink"/>
            <w:sz w:val="14"/>
            <w:szCs w:val="14"/>
          </w:rPr>
          <w:t xml:space="preserve">payer benchmarks / class data ↗</w:t>
        </w:r>
      </w:hyperlink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A3F8F"/>
        <w:sz w:val="14"/>
        <w:szCs w:val="14"/>
      </w:rPr>
      <w:t xml:space="preserve">◆ THE MERIDIAN</w:t>
    </w:r>
    <w:r>
      <w:rPr>
        <w:color w:val="64748B"/>
        <w:sz w:val="14"/>
        <w:szCs w:val="14"/>
      </w:rPr>
      <w:t xml:space="preserve">  ·  Area Intelligence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DEEA" w:sz="4" w:space="3"/>
      </w:pBdr>
      <w:spacing w:after="90" w:before="210"/>
      <w:outlineLvl w:val="0"/>
    </w:pPr>
    <w:rPr>
      <w:rFonts w:ascii="Arial" w:cs="Arial" w:eastAsia="Arial" w:hAnsi="Arial"/>
      <w:b/>
      <w:bCs/>
      <w:color w:val="1A3F8F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55" w:before="130"/>
      <w:outlineLvl w:val="1"/>
    </w:pPr>
    <w:rPr>
      <w:rFonts w:ascii="Arial" w:cs="Arial" w:eastAsia="Arial" w:hAnsi="Arial"/>
      <w:b/>
      <w:bCs/>
      <w:color w:val="14274A"/>
      <w:sz w:val="19"/>
      <w:szCs w:val="19"/>
    </w:rPr>
  </w:style>
  <w:style w:type="paragraph" w:styleId="Hyperlink">
    <w:name w:val="Hyperlink"/>
    <w:basedOn w:val="Normal"/>
    <w:rPr>
      <w:color w:val="1D4ED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><Relationship Id="rIdkuhson9tixvij1fvxjucu" Type="http://schemas.openxmlformats.org/officeDocument/2006/relationships/hyperlink" Target="https://www.crohnscolitisfoundation.org/what-is-ibd/facts-stats" TargetMode="External"/><Relationship Id="rIdibty_4b2ry5fiburil6kt" Type="http://schemas.openxmlformats.org/officeDocument/2006/relationships/hyperlink" Target="https://www.nejm.org/doi/abs/10.1056/NEJMoa2314076" TargetMode="External"/><Relationship Id="rIdtky_4w_rx2mq1hwbbgkfh" Type="http://schemas.openxmlformats.org/officeDocument/2006/relationships/hyperlink" Target="https://academic.oup.com/ecco-jcc/article/19/Supplement_1/i1158/7967681" TargetMode="External"/><Relationship Id="rIdgjziatbkdryvnrvs4xzm8" Type="http://schemas.openxmlformats.org/officeDocument/2006/relationships/hyperlink" Target="https://www.thelancet.com/journals/langas/article/PIIS2468-1253(25)00129-3/abstract" TargetMode="External"/><Relationship Id="rIddf6fdbr-uf0upy4as62dm" Type="http://schemas.openxmlformats.org/officeDocument/2006/relationships/hyperlink" Target="https://academic.oup.com/ecco-jcc/article/20/Supplement_1/jjaf231.347/8432827" TargetMode="External"/><Relationship Id="rIdfi_bmz0klwferfxsqdbbb" Type="http://schemas.openxmlformats.org/officeDocument/2006/relationships/hyperlink" Target="https://clinicaltrials.gov/study/NCT05013138" TargetMode="External"/><Relationship Id="rIdrfvkz5zolxmepvurs9gka" Type="http://schemas.openxmlformats.org/officeDocument/2006/relationships/hyperlink" Target="https://investors.xencor.com/news-releases/news-release-details/xencor-announces-positive-interim-results-first-human-healthy" TargetMode="External"/><Relationship Id="rIdagwd7zaszvwm3yp4splgs" Type="http://schemas.openxmlformats.org/officeDocument/2006/relationships/hyperlink" Target="https://www.nejm.org/doi/full/10.1056/NEJMoa2207940" TargetMode="External"/><Relationship Id="rIdsot7dylw0bvowqh-ivxis" Type="http://schemas.openxmlformats.org/officeDocument/2006/relationships/hyperlink" Target="https://clinicaltrials.gov/study/NCT06979336" TargetMode="External"/><Relationship Id="rIdkenlcobycbjc6juks-c2i" Type="http://schemas.openxmlformats.org/officeDocument/2006/relationships/hyperlink" Target="https://clinicaltrials.gov/study/NCT07423299" TargetMode="External"/><Relationship Id="rIdy5mz4z7fmihze78i25wkf" Type="http://schemas.openxmlformats.org/officeDocument/2006/relationships/hyperlink" Target="https://clinicaltrials.gov/search?term=FG-M701" TargetMode="External"/><Relationship Id="rIdupdxwuwmmr9pxm1aecazx" Type="http://schemas.openxmlformats.org/officeDocument/2006/relationships/hyperlink" Target="https://www.biospace.com/prometheus-biosciences-announces-positive-results-for-pra023-in-both-artemis-uc-phase-2-and-apollo-cd-phase-2a-studies-enabling-pathway-to-both-first-in-class-and-best-in-class-anti-tl1a-mab" TargetMode="External"/><Relationship Id="rId3t2g9o4gbnnuzsvffwpvk" Type="http://schemas.openxmlformats.org/officeDocument/2006/relationships/hyperlink" Target="https://gi.org/journals-publications/ebgi/kochar_dec2024/" TargetMode="External"/><Relationship Id="rIdl-nztvpgy5cfbr7s86dsz" Type="http://schemas.openxmlformats.org/officeDocument/2006/relationships/hyperlink" Target="https://pubmed.ncbi.nlm.nih.gov/?term=oncostatin+M+inflammatory+bowel+disease+response" TargetMode="External"/><Relationship Id="rIdpnqpcvttg8nkec9iwymle" Type="http://schemas.openxmlformats.org/officeDocument/2006/relationships/hyperlink" Target="https://www.crohnscolitisfoundation.org/what-is-ibd/facts-stats" TargetMode="External"/></Relationships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2026-06-08T18:54:34.587Z</dcterms:created>
  <dcterms:modified xsi:type="dcterms:W3CDTF">2026-06-08T18:54:34.592Z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