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F8F" w:val="clear"/>
        <w:spacing w:after="0"/>
      </w:pPr>
      <w:r>
        <w:rPr>
          <w:b/>
          <w:bCs/>
          <w:color w:val="FFFFFF"/>
          <w:sz w:val="16"/>
          <w:szCs w:val="16"/>
        </w:rPr>
        <w:t xml:space="preserve">  ◆ THE MERIDIAN · AREA INTELLIGENCE BRIEF</w:t>
      </w:r>
      <w:r>
        <w:rPr>
          <w:color w:val="D7E3F5"/>
          <w:sz w:val="13"/>
          <w:szCs w:val="13"/>
        </w:rPr>
        <w:t xml:space="preserve">                                                                                  June 9, 2026</w:t>
      </w:r>
    </w:p>
    <w:p>
      <w:pPr>
        <w:shd w:fill="1A3F8F" w:val="clear"/>
        <w:spacing w:after="40" w:before="30"/>
      </w:pPr>
      <w:r>
        <w:rPr>
          <w:b/>
          <w:bCs/>
          <w:color w:val="FFFFFF"/>
          <w:sz w:val="29"/>
          <w:szCs w:val="29"/>
        </w:rPr>
        <w:t xml:space="preserve">  IGF-1R × TSHR in thyroid eye disease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~50-100K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US moderate-severe TED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~83% / 70%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proptosis resp: teprotumumab · veligrotug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~$2B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Tepezza franchise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IV → SC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the format frontier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1→3+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entrants by 2027</w:t>
            </w:r>
          </w:p>
        </w:tc>
      </w:tr>
    </w:tbl>
    <w:p>
      <w:pPr>
        <w:pStyle w:val="Heading1"/>
      </w:pPr>
      <w:r>
        <w:t xml:space="preserve">The landscape in brief</w:t>
      </w:r>
    </w:p>
    <w:p>
      <w:pPr>
        <w:spacing w:after="120"/>
      </w:pPr>
      <w:r>
        <w:t xml:space="preserve">Thyroid eye disease has exactly one approved drug — </w:t>
      </w:r>
      <w:r>
        <w:rPr>
          <w:b/>
          <w:bCs/>
        </w:rPr>
        <w:t xml:space="preserve">teprotumumab</w:t>
      </w:r>
      <w:r>
        <w:t xml:space="preserve"> (anti-IGF-1R, IV) — and a fast-filling pipeline behind it. </w:t>
      </w:r>
      <w:r>
        <w:rPr>
          <w:b/>
          <w:bCs/>
        </w:rPr>
        <w:t xml:space="preserve">Veligrotug</w:t>
      </w:r>
      <w:r>
        <w:t xml:space="preserve"> (Viridian, IV) is at the FDA with a June 2026 decision; subcutaneous anti-IGF-1R agents (</w:t>
      </w:r>
      <w:r>
        <w:rPr>
          <w:b/>
          <w:bCs/>
        </w:rPr>
        <w:t xml:space="preserve">elegrobart</w:t>
      </w:r>
      <w:r>
        <w:t xml:space="preserve">, </w:t>
      </w:r>
      <w:r>
        <w:rPr>
          <w:b/>
          <w:bCs/>
        </w:rPr>
        <w:t xml:space="preserve">lonigutamab</w:t>
      </w:r>
      <w:r>
        <w:t xml:space="preserve">) and an oral (</w:t>
      </w:r>
      <w:r>
        <w:rPr>
          <w:b/>
          <w:bCs/>
        </w:rPr>
        <w:t xml:space="preserve">linsitinib</w:t>
      </w:r>
      <w:r>
        <w:t xml:space="preserve">) are advancing on convenience. Every clinical asset blocks the same effector receptor, IGF-1R. The strategic questions are format (replacing IV infusions with SC or oral), safety (reducing the hearing-loss and hyperglycemia burden), and whether a next-generation agent can also engage the upstream autoimmune driver, TSHR, for deeper or more durable disease control. No IGF-1R × TSHR dual agent has clinical data; the dual thesis is the least clinically established of the Meridian areas and is flagged as such.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State of validation: </w:t>
            </w:r>
            <w:r>
              <w:t xml:space="preserve">IGF-1R blockade is approved and highly effective (proptosis response ~70-83%); the format is shifting IV→SC/oral; TSHR-directed and dual IGF-1R×TSHR approaches remain early/hypothetical. The near-term value is convenience and safety differentiation on a proven target; the longer-term thesis is adding the autoimmune (TSHR) arm.</w:t>
            </w:r>
          </w:p>
        </w:tc>
      </w:tr>
    </w:tbl>
    <w:p>
      <w:pPr>
        <w:pStyle w:val="Heading1"/>
      </w:pPr>
      <w:r>
        <w:t xml:space="preserve">What determines value here</w:t>
      </w:r>
    </w:p>
    <w:p>
      <w:pPr>
        <w:spacing w:after="120"/>
      </w:pPr>
      <w:r>
        <w:t xml:space="preserve">The axes on which a TED asset is judged: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Axis</w:t>
            </w:r>
          </w:p>
        </w:tc>
        <w:tc>
          <w:tcPr>
            <w:tcW w:type="dxa" w:w="72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Specifics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Proptosis response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registrational currency — ≥2mm proptosis reduction responder rate; the bar is teprotumumab (~83%) and veligrotug (70%), plus diplopia and Clinical Activity Score.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Format / convenience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teprotumumab is 8 IV infusions; SC self-injection (elegrobart, lonigutamab) or oral (linsitinib) is the primary differentiation axis in a specialist outpatient disease.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Safety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reducing IGF-1R-class hearing impairment and hyperglycemia is a real clinical and payer differentiator — these AEs limit teprotumumab use.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Durability / chronic disease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response durability and benefit in chronic (not just active) TED widen the addressable population — where a TSHR/autoimmune arm could matter most.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Market access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small, specialist (oculoplastics/endocrine) market with high per-patient cost — value is concentrated, not volume-driven.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Competitive set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target-space is entirely IGF-1R today; indication-space includes steroids, orbital radiation and surgery (the legacy standard of care).</w:t>
            </w:r>
          </w:p>
        </w:tc>
      </w:tr>
    </w:tbl>
    <w:p>
      <w:pPr>
        <w:spacing w:after="120"/>
      </w:pPr>
      <w:r>
        <w:rPr>
          <w:b/>
          <w:bCs/>
        </w:rPr>
        <w:t xml:space="preserve">Field view. </w:t>
      </w:r>
      <w:r>
        <w:t xml:space="preserve">TED went from no approved drug to a one-product, multi-billion-dollar market with </w:t>
      </w:r>
      <w:hyperlink w:history="1" r:id="rIdenbqygqru-s8hmhfunzld">
        <w:r>
          <w:rPr>
            <w:rStyle w:val="Hyperlink"/>
          </w:rPr>
          <w:t xml:space="preserve">teprotumumab</w:t>
        </w:r>
      </w:hyperlink>
      <w:r>
        <w:t xml:space="preserve"> and triggered Amgen's </w:t>
      </w:r>
      <w:hyperlink w:history="1" r:id="rId3moe_mlowtzlszwooeze4">
        <w:r>
          <w:rPr>
            <w:rStyle w:val="Hyperlink"/>
          </w:rPr>
          <w:t xml:space="preserve">~$27.8B acquisition of Horizon</w:t>
        </w:r>
      </w:hyperlink>
      <w:r>
        <w:t xml:space="preserve">. The field is now an IGF-1R format race — IV → SC → oral — with safety (hearing, glucose) as the second differentiator. The unexploited frontier is the disease's autoimmune root: TSHR. Whether engaging TSHR alongside IGF-1R deepens or durably extends response is the open scientific question and the rationale for a dual agent.</w:t>
      </w:r>
    </w:p>
    <w:p>
      <w:pPr>
        <w:pStyle w:val="Heading1"/>
      </w:pPr>
      <w:r>
        <w:t xml:space="preserve">1 · Patient &amp; disease</w:t>
      </w:r>
    </w:p>
    <w:p>
      <w:pPr>
        <w:spacing w:after="120"/>
      </w:pPr>
      <w:r>
        <w:t xml:space="preserve">Thyroid eye disease is the orbital manifestation of Graves' autoimmunity: TSHR autoantibodies, acting through the IGF-1R/TSHR complex on orbital fibroblasts, drive tissue expansion, inflammation and scarring — producing proptosis, double vision, pain and, in the worst cases, optic-nerve compression and vision loss. </w:t>
      </w:r>
      <w:hyperlink w:history="1" r:id="rIdltgo94s5offjcyic2gykv">
        <w:r>
          <w:rPr>
            <w:rStyle w:val="Hyperlink"/>
          </w:rPr>
          <w:t xml:space="preserve">Most TED is mild; ~20-30% is moderate-to-severe and 3-5% sight-threatening</w:t>
        </w:r>
      </w:hyperlink>
      <w:r>
        <w:t xml:space="preserve">, giving roughly 50,000-100,000 treatable US patients. The disease has an active (inflammatory) phase and a chronic (fibrotic) phase, historically managed with steroids, orbital radiation and decompression surgery before teprotumumab.</w:t>
      </w:r>
    </w:p>
    <w:p>
      <w:pPr>
        <w:spacing w:after="120"/>
      </w:pPr>
      <w:r>
        <w:rPr>
          <w:b/>
          <w:bCs/>
        </w:rPr>
        <w:t xml:space="preserve">The patient, not just the disease. </w:t>
      </w:r>
      <w:r>
        <w:t xml:space="preserve">TED is disfiguring and frightening — bulging eyes, constant double vision, the threat of blindness — and falls on a mostly working-age, predominantly female population. 'Better,' from their side, is reduced proptosis and resolved double vision, achieved without 8 infusion-center visits, without new hearing loss or blood-sugar problems, and ideally in chronic as well as active disease. Those experiential gaps — convenience and the hearing/glycemic AEs — are exactly where the next generation of IGF-1R agents competes.</w:t>
      </w:r>
    </w:p>
    <w:p>
      <w:pPr>
        <w:spacing w:after="120"/>
      </w:pPr>
      <w:r>
        <w:rPr>
          <w:b/>
          <w:bCs/>
        </w:rPr>
        <w:t xml:space="preserve">Why a dual (IGF-1R × TSHR) concept. </w:t>
      </w:r>
      <w:r>
        <w:t xml:space="preserve">Every approved and late-stage agent blocks IGF-1R, the effector. The disease is driven upstream by TSHR autoantibodies, which current drugs do not touch. The hypothesis is that adding TSHR engagement to IGF-1R blockade could deepen response, extend durability, or reach chronic/fibrotic disease that effector blockade alone addresses less well. This is mechanistically reasonable but clinically unproven — the most speculative of the Meridian dual theses, and labelled as a hypothesis here.</w:t>
      </w:r>
    </w:p>
    <w:p>
      <w:pPr>
        <w:pStyle w:val="Heading1"/>
      </w:pPr>
      <w:r>
        <w:t xml:space="preserve">2 · Lines of therapy &amp; where IGF-1R 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Line</w:t>
            </w:r>
          </w:p>
        </w:tc>
        <w:tc>
          <w:tcPr>
            <w:tcW w:type="dxa" w:w="74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Thyroid eye disease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Acute / supportive</w:t>
            </w:r>
          </w:p>
        </w:tc>
        <w:tc>
          <w:tcPr>
            <w:tcW w:type="dxa" w:w="7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selenium (mild), smoking cessation, lubricants; risk-factor control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Active moderate-severe</w:t>
            </w:r>
          </w:p>
        </w:tc>
        <w:tc>
          <w:tcPr>
            <w:tcW w:type="dxa" w:w="7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 corticosteroids (legacy first-line); teprotumumab (anti-IGF-1R) — the approved targeted therapy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Refractory / sight-threatening</w:t>
            </w:r>
          </w:p>
        </w:tc>
        <w:tc>
          <w:tcPr>
            <w:tcW w:type="dxa" w:w="7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orbital radiotherapy, orbital decompression surgery, rehabilitative surgery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Emerging</w:t>
            </w:r>
          </w:p>
        </w:tc>
        <w:tc>
          <w:tcPr>
            <w:tcW w:type="dxa" w:w="74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veligrotug (IV), elegrobart / lonigutamab (SC IGF-1R), linsitinib (oral IGF-1R); TSHR-directed agents (early)</w:t>
            </w:r>
          </w:p>
        </w:tc>
      </w:tr>
    </w:tbl>
    <w:p>
      <w:pPr>
        <w:spacing w:after="120"/>
      </w:pPr>
      <w:r>
        <w:t xml:space="preserve">Teprotumumab displaced steroids as the targeted option for active moderate-severe TED but left gaps: the IV burden, the hearing/glycemic AEs, and limited evidence in chronic disease. New IGF-1R agents compete to fill those gaps; surgery and radiation remain for refractory and sight-threatening disease. Value scales with moving targeted therapy earlier and into the chronic phase, and with replacing infusions.</w:t>
      </w:r>
    </w:p>
    <w:p>
      <w:pPr>
        <w:pStyle w:val="Heading1"/>
      </w:pPr>
      <w:r>
        <w:t xml:space="preserve">3 · The scientific thesis</w:t>
      </w:r>
    </w:p>
    <w:p>
      <w:pPr>
        <w:pStyle w:val="Heading2"/>
      </w:pPr>
      <w:r>
        <w:t xml:space="preserve">The targets, precisely</w:t>
      </w:r>
    </w:p>
    <w:p>
      <w:pPr>
        <w:spacing w:after="120"/>
      </w:pPr>
      <w:r>
        <w:t xml:space="preserve">TED has a clean two-node biology. </w:t>
      </w:r>
      <w:r>
        <w:rPr>
          <w:b/>
          <w:bCs/>
        </w:rPr>
        <w:t xml:space="preserve">IGF-1R</w:t>
      </w:r>
      <w:r>
        <w:t xml:space="preserve"> (the </w:t>
      </w:r>
      <w:hyperlink w:history="1" r:id="rIdl8327p2tclvyup_ujg72e">
        <w:r>
          <w:rPr>
            <w:rStyle w:val="Hyperlink"/>
          </w:rPr>
          <w:t xml:space="preserve">IGF1R gene product</w:t>
        </w:r>
      </w:hyperlink>
      <w:r>
        <w:t xml:space="preserve">) on orbital fibroblasts is the effector: its blockade shrinks orbital tissue and resolves proptosis — the mechanism of every approved and late-stage agent. </w:t>
      </w:r>
      <w:r>
        <w:rPr>
          <w:b/>
          <w:bCs/>
        </w:rPr>
        <w:t xml:space="preserve">TSHR</w:t>
      </w:r>
      <w:r>
        <w:t xml:space="preserve"> (the thyroid-stimulating-hormone receptor) is the autoantigen: Graves' stimulating autoantibodies activate it, and IGF-1R and TSHR physically and functionally crosstalk on the orbital fibroblast, so IGF-1R blockade partly interrupts TSHR-driven signaling. </w:t>
      </w:r>
      <w:r>
        <w:rPr>
          <w:b/>
          <w:bCs/>
        </w:rPr>
        <w:t xml:space="preserve">On-target ceiling: </w:t>
      </w:r>
      <w:r>
        <w:t xml:space="preserve">IGF-1R has metabolic and auditory roles, which is why the class causes hyperglycemia and hearing impairment — the safety ceiling a next-generation agent must lower.</w:t>
      </w:r>
    </w:p>
    <w:p>
      <w:pPr>
        <w:pStyle w:val="Heading2"/>
      </w:pPr>
      <w:r>
        <w:t xml:space="preserve">What is proven, and the open frontier</w:t>
      </w:r>
    </w:p>
    <w:p>
      <w:pPr>
        <w:spacing w:after="120"/>
      </w:pPr>
      <w:r>
        <w:t xml:space="preserve">Effector blockade is decisively validated: </w:t>
      </w:r>
      <w:hyperlink w:history="1" r:id="rIdblywvsx3axp9qidtofce1">
        <w:r>
          <w:rPr>
            <w:rStyle w:val="Hyperlink"/>
          </w:rPr>
          <w:t xml:space="preserve">teprotumumab produced ~83% proptosis response</w:t>
        </w:r>
      </w:hyperlink>
      <w:r>
        <w:t xml:space="preserve"> and </w:t>
      </w:r>
      <w:hyperlink w:history="1" r:id="rIdh7tqpdxmerfeekcxjf61f">
        <w:r>
          <w:rPr>
            <w:rStyle w:val="Hyperlink"/>
          </w:rPr>
          <w:t xml:space="preserve">veligrotug 70%</w:t>
        </w:r>
      </w:hyperlink>
      <w:r>
        <w:t xml:space="preserve"> — among the largest effect sizes in immunology. What is not addressed is the upstream autoimmune driver (TSHR) or the chronic/fibrotic phase. The near-term innovation is therefore format and safety on the same proven target (SC/oral, less hearing/glucose toxicity); the longer-term, higher-risk innovation is engaging TSHR to reach durability and chronic disease — a hypothesis the IGF-1R/TSHR crosstalk biology supports but no clinical data yet confirm.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Testable conclusion. </w:t>
            </w:r>
            <w:r>
              <w:t xml:space="preserve">Near-term: an SC or oral IGF-1R agent that matches teprotumumab's proptosis response with less hearing/glycemic toxicity and no infusions wins on convenience and safety. Longer-term and unproven: if TSHR engagement adds to IGF-1R blockade, a dual agent could deepen or durably extend response and reach chronic TED — falsified if TSHR targeting adds no benefit over IGF-1R alone. No dual IGF-1R×TSHR clinical data exist; this is the area's principal scientific unknown.</w:t>
            </w:r>
          </w:p>
        </w:tc>
      </w:tr>
    </w:tbl>
    <w:p>
      <w:pPr>
        <w:pStyle w:val="Heading1"/>
      </w:pPr>
      <w:r>
        <w:t xml:space="preserve">4 · Competition &amp; data</w:t>
      </w:r>
    </w:p>
    <w:p>
      <w:pPr>
        <w:spacing w:after="120"/>
      </w:pPr>
      <w:r>
        <w:t xml:space="preserve">Efficacy is each agent's pivotal active-TED population (not head-to-head — trials and timepoints differ).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060"/>
        <w:gridCol w:w="3100"/>
        <w:gridCol w:w="1400"/>
      </w:tblGrid>
      <w:tr>
        <w:trPr>
          <w:tblHeader/>
        </w:trPr>
        <w:tc>
          <w:tcPr>
            <w:tcW w:type="dxa" w:w="1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 (originator)</w:t>
            </w:r>
          </w:p>
        </w:tc>
        <w:tc>
          <w:tcPr>
            <w:tcW w:type="dxa" w:w="1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1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 / format</w:t>
            </w:r>
          </w:p>
        </w:tc>
        <w:tc>
          <w:tcPr>
            <w:tcW w:type="dxa" w:w="1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Proptosis resp.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teprotumumab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Amgen (Horizon)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anti-IGF-1R mAb, IV Q3W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~83% (OPTIC)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veligrotug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Viridian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Filed (PDUFA Jun'26)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anti-IGF-1R mAb, IV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70% (THRIVE)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elegrobart (VRDN-003)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Viridian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anti-IGF-1R mAb, SC (LA)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REVEAL program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lonigutamab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Alumis (ex-ACELYRIN)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anti-IGF-1R mAb, SC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Ph1/2 data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linsitinib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Sling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Ph2b/3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IGF-1R small molecule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oral; LIDS program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 teprotumumab (OBI)</w:t>
            </w:r>
          </w:p>
        </w:tc>
        <w:tc>
          <w:tcPr>
            <w:tcW w:type="dxa" w:w="1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Amgen</w:t>
            </w:r>
          </w:p>
        </w:tc>
        <w:tc>
          <w:tcPr>
            <w:tcW w:type="dxa" w:w="1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 positive</w:t>
            </w:r>
          </w:p>
        </w:tc>
        <w:tc>
          <w:tcPr>
            <w:tcW w:type="dxa" w:w="3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anti-IGF-1R, SC on-body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line-extension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A3F8F" w:sz="18"/>
              <w:bottom w:val="none"/>
              <w:right w:val="none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bar to beat, in numbers. </w:t>
            </w:r>
            <w:r>
              <w:t xml:space="preserve">The approved standard is </w:t>
            </w:r>
            <w:hyperlink w:history="1" r:id="rIdhcajbzbhgi9d6fdfafbkf">
              <w:r>
                <w:rPr>
                  <w:rStyle w:val="Hyperlink"/>
                </w:rPr>
                <w:t xml:space="preserve">teprotumumab — ~83% proptosis response vs ~10% placebo</w:t>
              </w:r>
            </w:hyperlink>
            <w:r>
              <w:t xml:space="preserve">; </w:t>
            </w:r>
            <w:hyperlink w:history="1" r:id="rIdjcdhiplmh8kw-zfz1l3lr">
              <w:r>
                <w:rPr>
                  <w:rStyle w:val="Hyperlink"/>
                </w:rPr>
                <w:t xml:space="preserve">veligrotug set a second IV benchmark at 70%</w:t>
              </w:r>
            </w:hyperlink>
            <w:r>
              <w:t xml:space="preserve">. With efficacy on IGF-1R already very high, the differentiating bar is not a higher response rate — it is delivering comparable response via SC or oral dosing, with less hearing and glycemic toxicity, and ideally in chronic as well as active disease.</w:t>
            </w:r>
          </w:p>
        </w:tc>
      </w:tr>
    </w:tbl>
    <w:p>
      <w:pPr>
        <w:pStyle w:val="Heading2"/>
      </w:pPr>
      <w:r>
        <w:t xml:space="preserve">BD overlay — control, availability, and the so-what</w:t>
      </w:r>
    </w:p>
    <w:p>
      <w:pPr>
        <w:spacing w:after="120"/>
      </w:pPr>
      <w:r>
        <w:t xml:space="preserve">Who controls each asset and whether it can be transacted: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50"/>
        <w:gridCol w:w="1350"/>
        <w:gridCol w:w="4560"/>
      </w:tblGrid>
      <w:tr>
        <w:trPr>
          <w:tblHeader/>
        </w:trPr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7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45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So-what for a buyer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teprotumumab</w:t>
            </w:r>
          </w:p>
        </w:tc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Amgen (ex-Horizon)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franchise; the standard, not for sale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veligrotug / elegrobart</w:t>
            </w:r>
          </w:p>
        </w:tc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Viridian (independent)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acquirable</w:t>
            </w:r>
          </w:p>
        </w:tc>
        <w:tc>
          <w:tcPr>
            <w:tcW w:type="dxa" w:w="4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deepest pure-play TED pipeline (IV + SC); the prime takeout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lonigutamab</w:t>
            </w:r>
          </w:p>
        </w:tc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Alumis (ex-ACELYRIN)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acquirable</w:t>
            </w:r>
          </w:p>
        </w:tc>
        <w:tc>
          <w:tcPr>
            <w:tcW w:type="dxa" w:w="4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 SC IGF-1R contender; folded into Alumis (2025)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linsitinib</w:t>
            </w:r>
          </w:p>
        </w:tc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Sling (independent)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acquirable / partnerable</w:t>
            </w:r>
          </w:p>
        </w:tc>
        <w:tc>
          <w:tcPr>
            <w:tcW w:type="dxa" w:w="4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only oral IGF-1R; differentiated format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 teprotumumab</w:t>
            </w:r>
          </w:p>
        </w:tc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Amgen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Amgen's own format defense</w:t>
            </w:r>
          </w:p>
        </w:tc>
      </w:tr>
    </w:tbl>
    <w:p>
      <w:pPr>
        <w:spacing w:after="120"/>
      </w:pPr>
      <w:r>
        <w:rPr>
          <w:b/>
          <w:bCs/>
        </w:rPr>
        <w:t xml:space="preserve">Read. </w:t>
      </w:r>
      <w:r>
        <w:t xml:space="preserve">The market is a two-tier structure: Amgen's entrenched teprotumumab versus a cluster of independents — </w:t>
      </w:r>
      <w:r>
        <w:rPr>
          <w:b/>
          <w:bCs/>
        </w:rPr>
        <w:t xml:space="preserve">Viridian (the deepest, IV + SC), Alumis, Sling</w:t>
      </w:r>
      <w:r>
        <w:t xml:space="preserve"> — racing on format and safety. That is where a TED position is acquirable; Viridian is the cleanest pure-play takeout for an acquirer wanting to challenge or complement teprotumumab.</w:t>
      </w:r>
    </w:p>
    <w:p>
      <w:pPr>
        <w:pStyle w:val="Heading1"/>
      </w:pPr>
      <w:r>
        <w:t xml:space="preserve">5 · Alternative mechanisms &amp; the broader competition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450"/>
        <w:gridCol w:w="37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Position vs a next-gen IGF-1R agent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Anti-IGF-1R (IV)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teprotumumab, veligrotug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/ filed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efficacy bar; IV burden + AEs are the gap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Anti-IGF-1R (SC)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elegrobart, lonigutamab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Ph2/3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convenience play; must match IV efficacy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Oral IGF-1R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linsitinib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Ph2b/3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ultimate convenience; efficacy/tolerability to prove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Legacy SOC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 steroids, orbital radiotherapy, surgery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standard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comparators targeted therapy displaces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TSHR-directed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TSHR-blocking antibodies (early)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preclinical/early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upstream autoimmune arm; unproven in TED</w:t>
            </w:r>
          </w:p>
        </w:tc>
      </w:tr>
    </w:tbl>
    <w:p>
      <w:pPr>
        <w:spacing w:after="120"/>
      </w:pPr>
      <w:r>
        <w:rPr>
          <w:b/>
          <w:bCs/>
        </w:rPr>
        <w:t xml:space="preserve">Why this matters. </w:t>
      </w:r>
      <w:r>
        <w:t xml:space="preserve">TED competition is, for now, entirely within IGF-1R — so differentiation is format and safety, not target. The first agent to deliver teprotumumab-level proptosis response by self-injection or pill, with less hearing/glycemic toxicity, takes share in a small but high-value market. The only way to escape the IGF-1R commoditization is a genuinely new mechanism (TSHR / autoimmune), which remains early.</w:t>
      </w:r>
    </w:p>
    <w:p>
      <w:pPr>
        <w:spacing w:after="120"/>
      </w:pPr>
      <w:r>
        <w:rPr>
          <w:b/>
          <w:bCs/>
        </w:rPr>
        <w:t xml:space="preserve">Beyond active TED. </w:t>
      </w:r>
      <w:r>
        <w:t xml:space="preserve">IGF-1R and the Graves' autoimmune axis extend to chronic TED, and the broader Graves' disease and autoimmune-thyroid space — label-expansion optionality (chronic disease, earlier intervention) that a safer, more convenient, or TSHR-engaging agent could capture beyond the active-moderate-severe population.</w:t>
      </w:r>
    </w:p>
    <w:p>
      <w:pPr>
        <w:pStyle w:val="Heading1"/>
      </w:pPr>
      <w:r>
        <w:t xml:space="preserve">6 · Safety &amp; the differentiation that matters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Hearing impairment is the signature risk. </w:t>
      </w:r>
      <w:hyperlink w:history="1" r:id="rIded4_bqzk1zkt8bcd_jnd3">
        <w:r>
          <w:rPr>
            <w:rStyle w:val="Hyperlink"/>
          </w:rPr>
          <w:t xml:space="preserve">Teprotumumab causes hearing loss/tinnitus</w:t>
        </w:r>
      </w:hyperlink>
      <w:r>
        <w:t xml:space="preserve"> in a meaningful fraction of patients — a serious, sometimes irreversible AE that limits use and is a primary target for next-generation differentiation.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Hyperglycemia. </w:t>
      </w:r>
      <w:r>
        <w:t xml:space="preserve">IGF-1R's metabolic role drives hyperglycemia, requiring monitoring especially in diabetic patients; a cleaner metabolic profile is a real clinical and payer advantage.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Format is a safety/experience issue too. </w:t>
      </w:r>
      <w:r>
        <w:t xml:space="preserve">Eight IV infusions impose burden and infusion reactions; SC or oral dosing improves the experience and may broaden the prescriber base beyond infusion-capable sites.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 dual TSHR arm adds unknowns. </w:t>
      </w:r>
      <w:r>
        <w:t xml:space="preserve">Engaging TSHR introduces new (thyroid-axis) safety questions that an IGF-1R-only agent does not carry — part of why the dual concept is higher-risk.</w:t>
      </w:r>
    </w:p>
    <w:p>
      <w:pPr>
        <w:pStyle w:val="Heading1"/>
      </w:pPr>
      <w:r>
        <w:t xml:space="preserve">7 · Catalysts &amp; forecasts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350"/>
        <w:gridCol w:w="1550"/>
        <w:gridCol w:w="3510"/>
      </w:tblGrid>
      <w:tr>
        <w:trPr>
          <w:tblHeader/>
        </w:trPr>
        <w:tc>
          <w:tcPr>
            <w:tcW w:type="dxa" w:w="29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35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tests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Veligrotug FDA decision (TED)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Jun 30,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~78% approve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second approved TED agent arrives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 teprotumumab (OBI) approval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late 2026 – H1 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~72%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Amgen defends with a self-inject format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Elegrobart / lonigutamab SC readouts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2026–2027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whether SC matches IV efficacy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Linsitinib (oral) Phase 2b/3 data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2026–2027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oral option's efficacy/tolerability</w:t>
            </w:r>
          </w:p>
        </w:tc>
      </w:tr>
    </w:tbl>
    <w:p>
      <w:pPr>
        <w:pStyle w:val="Heading1"/>
      </w:pPr>
      <w:r>
        <w:t xml:space="preserve">8 · Payer differentiation</w:t>
      </w:r>
    </w:p>
    <w:p>
      <w:pPr>
        <w:spacing w:after="120"/>
      </w:pPr>
      <w:r>
        <w:t xml:space="preserve">TED therapy is high-cost and specialist-administered; payers manage it tightly on diagnosis and site of care: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Lever</w:t>
            </w:r>
          </w:p>
        </w:tc>
        <w:tc>
          <w:tcPr>
            <w:tcW w:type="dxa" w:w="70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payers reward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Proptosis / diplopia outcome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documented proptosis and double-vision improvement — the hard outcomes that justify a high-cost biologic over steroids and surgery.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Site of care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 self-injection or oral dosing removes infusion-center fees — a direct cost saving vs IV teprotumumab.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Safety / monitoring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less hearing and glucose toxicity reduces monitoring and adverse-event cost and broadens eligible patients.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Chronic-disease evidence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data in chronic TED expands the covered population beyond the active phase.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Comparative effectiveness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benchmarked against teprotumumab; a new agent needs a convenience, safety, or durability edge to win preference at parity efficacy.</w:t>
            </w:r>
          </w:p>
        </w:tc>
      </w:tr>
    </w:tbl>
    <w:p>
      <w:pPr>
        <w:spacing w:after="120"/>
      </w:pPr>
      <w:r>
        <w:rPr>
          <w:b/>
          <w:bCs/>
        </w:rPr>
        <w:t xml:space="preserve">Price anchors. </w:t>
      </w:r>
      <w:r>
        <w:t xml:space="preserve">Teprotumumab is among the most expensive specialty courses in ophthalmology (a multi-infusion course running into six figures), supporting a </w:t>
      </w:r>
      <w:hyperlink w:history="1" r:id="rIdmdvjk2ht5mgphysp_mx_e">
        <w:r>
          <w:rPr>
            <w:rStyle w:val="Hyperlink"/>
          </w:rPr>
          <w:t xml:space="preserve">~$2B franchise on a small population</w:t>
        </w:r>
      </w:hyperlink>
      <w:r>
        <w:t xml:space="preserve">. Value here is per-patient, not volume — so a differentiated agent capturing share of a high-priced, specialist market is commercially meaningful despite the small patient count.</w:t>
      </w:r>
    </w:p>
    <w:p>
      <w:pPr>
        <w:pStyle w:val="Heading1"/>
      </w:pPr>
      <w:r>
        <w:t xml:space="preserve">9 · Value &amp; deal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350"/>
        <w:gridCol w:w="1300"/>
        <w:gridCol w:w="1300"/>
        <w:gridCol w:w="306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Deal / asset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Amgen-Horizon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~$27.8B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Tepezza the anchor; the TED value precedent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Viridian (independent)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public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filed / Ph3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deepest pure-play TED pipeline; takeout candidate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Alumis / Sling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public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Ph2/3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 (lonigutamab, ex-ACELYRIN) and oral IGF-1R; smaller takeout / partner targets</w:t>
            </w:r>
          </w:p>
        </w:tc>
      </w:tr>
    </w:tbl>
    <w:p>
      <w:pPr>
        <w:spacing w:after="120"/>
      </w:pPr>
      <w:r>
        <w:t xml:space="preserve">The Horizon precedent shows a dominant TED franchise can anchor a ~$28B acquisition. For a challenger asset, value scales with format and safety differentiation on proven IGF-1R efficacy: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2960"/>
      </w:tblGrid>
      <w:tr>
        <w:trPr>
          <w:tblHeader/>
        </w:trPr>
        <w:tc>
          <w:tcPr>
            <w:tcW w:type="dxa" w:w="4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29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Driver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SC/oral agent matching teprotumumab efficacy + cleaner safety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$2-5B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convenience + safety share of a high-price market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 me-too at parity efficacy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$1-2B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second/third entrant, modest differentiation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 credible TSHR/dual mechanism with durability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5803D"/>
              </w:rPr>
              <w:t xml:space="preserve">upside optionality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if proven, expands into chronic/durable disease</w:t>
            </w:r>
          </w:p>
        </w:tc>
      </w:tr>
    </w:tbl>
    <w:p>
      <w:pPr>
        <w:pStyle w:val="Heading1"/>
      </w:pPr>
      <w:r>
        <w:t xml:space="preserve">10 · Competitive geography</w:t>
      </w:r>
    </w:p>
    <w:p>
      <w:pPr>
        <w:spacing w:after="120"/>
      </w:pPr>
      <w:r>
        <w:t xml:space="preserve">TED development is led by US biotech (Viridian; Alumis, which absorbed ACELYRIN in 2025; Sling) under Amgen's incumbent franchise — a Western-concentrated field, in contrast to the China-heavy bispecific supply in IBD and respiratory. The likely transactions are US-biotech takeouts (Viridian the cleanest) or format-defense moves by Amgen. China-origin IGF-1R and TSHR programs are emerging but earlier; they are the next wave rather than today's competitive set.</w:t>
      </w:r>
    </w:p>
    <w:p>
      <w:pPr>
        <w:pStyle w:val="Heading1"/>
      </w:pPr>
      <w:r>
        <w:t xml:space="preserve">11 ·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00"/>
        <w:gridCol w:w="3380"/>
      </w:tblGrid>
      <w:tr>
        <w:trPr>
          <w:tblHeader/>
        </w:trPr>
        <w:tc>
          <w:tcPr>
            <w:tcW w:type="dxa" w:w="46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33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 — SC/oral agent matches efficacy + cleaner safety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~45%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convenience/safety winner takes meaningful share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 — Amgen's SC teprotumumab defends the franchise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~30%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incumbent holds; challengers fight for the remainder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 — a TSHR/dual mechanism proves durable benefit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re-rates the field toward chronic/durable disease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 — challengers match efficacy but not safety/format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fragmented me-too market, modest value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B91C1C" w:sz="18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value-destroying case. </w:t>
            </w:r>
            <w:r>
              <w:t xml:space="preserve">An IV anti-IGF-1R me-too that matches teprotumumab's efficacy but not its (now-defended) SC format, and carries the same hearing/glycemic burden, has little to offer a small market already served — and a TSHR/dual agent that adds no benefit over IGF-1R alone carries extra risk for no return. The defense is clear differentiation (format, safety, or a proven new mechanism) before committing to a high-cost specialist launch.</w:t>
            </w:r>
          </w:p>
        </w:tc>
      </w:tr>
    </w:tbl>
    <w:p>
      <w:pPr>
        <w:pStyle w:val="Heading1"/>
      </w:pPr>
      <w:r>
        <w:t xml:space="preserve">12 · Diligence checklist (asset-level data)</w:t>
      </w:r>
    </w:p>
    <w:p>
      <w:pPr>
        <w:spacing w:after="120"/>
      </w:pPr>
      <w:r>
        <w:t xml:space="preserve">Answered with a program's proprietary data, not public intelligence: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6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 strong answer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Efficacy vs teprotumumab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proptosis-response and diplopia data at or near teprotumumab/veligrotug levels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validated SC self-injection or oral dosing with supportive PK; no infusion required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Hearing / glycemic safety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reduced auditory and metabolic AE rates vs the IGF-1R class benchmark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Chronic-disease data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evidence of benefit in chronic (fibrotic) as well as active TED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TSHR arm (if dual)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demonstrated TSHR engagement adding to IGF-1R blockade; new thyroid-axis safety characterized</w:t>
            </w:r>
          </w:p>
        </w:tc>
      </w:tr>
    </w:tbl>
    <w:p>
      <w:pPr>
        <w:pStyle w:val="Heading1"/>
      </w:pPr>
      <w:r>
        <w:t xml:space="preserve">13 · Standing 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00"/>
        <w:gridCol w:w="1500"/>
        <w:gridCol w:w="1760"/>
      </w:tblGrid>
      <w:tr>
        <w:trPr>
          <w:tblHeader/>
        </w:trPr>
        <w:tc>
          <w:tcPr>
            <w:tcW w:type="dxa" w:w="46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Prediction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17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Resolves (range)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Veligrotug is FDA-approved in TED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approval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78%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Q2 2026 – Q3 2026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 teprotumumab (OBI) is approved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approval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72%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Q4 2026 – Q2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 SC anti-IGF-1R reports efficacy near IV agents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 –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pure-play TED biotech (e.g., Viridian) is acquired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deal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40-50%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 – 2027</w:t>
            </w:r>
          </w:p>
        </w:tc>
      </w:tr>
    </w:tbl>
    <w:p>
      <w:pPr>
        <w:pStyle w:val="Heading1"/>
      </w:pPr>
      <w:r>
        <w:t xml:space="preserve">What would change this view</w:t>
      </w:r>
    </w:p>
    <w:p>
      <w:pPr>
        <w:spacing w:after="120"/>
      </w:pPr>
      <w:r>
        <w:t xml:space="preserve">The load-bearing conclusions and their disconfirming signals: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If we see…</w:t>
            </w:r>
          </w:p>
        </w:tc>
        <w:tc>
          <w:tcPr>
            <w:tcW w:type="dxa" w:w="53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…the view changes to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 SC IGF-1R agent matching IV efficacy with cleaner safety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convenience/safety becomes the value axis; IV me-toos devalue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TSHR/dual agent showing durable benefit beyond IGF-1R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frontier shifts upstream; chronic-disease value opens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 SC/oral agent failing to match IV proptosis response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format alone is insufficient; efficacy parity is the gate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new hearing-safety signal across the IGF-1R class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differentiation bar rises; class perception worsens</w:t>
            </w:r>
          </w:p>
        </w:tc>
      </w:tr>
    </w:tbl>
    <w:p>
      <w:pPr>
        <w:spacing w:after="120"/>
      </w:pPr>
      <w:r>
        <w:rPr>
          <w:i/>
          <w:iCs/>
        </w:rPr>
        <w:t xml:space="preserve">Every quantitative claim here is footnoted to its primary source; the IGF-1R×TSHR dual concept is explicitly a hypothesis — no clinical data exist — and is labelled as such throughout, not asserted as fact.</w:t>
      </w:r>
    </w:p>
    <w:sectPr>
      <w:headerReference w:type="default" r:id="rId7"/>
      <w:footerReference w:type="default" r:id="rId8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3"/>
        <w:szCs w:val="13"/>
      </w:rPr>
      <w:t xml:space="preserve">Source-traced · footnotes link to the primary source · Page </w:t>
    </w:r>
    <w:r>
      <w:rPr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3"/>
        <w:szCs w:val="13"/>
      </w:rPr>
      <w:t xml:space="preserve"> of </w:t>
    </w:r>
    <w:r>
      <w:rPr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A3F8F"/>
        <w:sz w:val="14"/>
        <w:szCs w:val="14"/>
      </w:rPr>
      <w:t xml:space="preserve">◆ THE MERIDIAN</w:t>
    </w:r>
    <w:r>
      <w:rPr>
        <w:color w:val="64748B"/>
        <w:sz w:val="14"/>
        <w:szCs w:val="14"/>
      </w:rPr>
      <w:t xml:space="preserve">  ·  Area Intelligence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EEA" w:sz="4" w:space="3"/>
      </w:pBdr>
      <w:spacing w:after="85" w:before="200"/>
      <w:outlineLvl w:val="0"/>
    </w:pPr>
    <w:rPr>
      <w:rFonts w:ascii="Arial" w:cs="Arial" w:eastAsia="Arial" w:hAnsi="Arial"/>
      <w:b/>
      <w:bCs/>
      <w:color w:val="1A3F8F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4274A"/>
      <w:sz w:val="18"/>
      <w:szCs w:val="18"/>
    </w:rPr>
  </w:style>
  <w:style w:type="paragraph" w:styleId="Hyperlink">
    <w:name w:val="Hyperlink"/>
    <w:basedOn w:val="Normal"/>
    <w:rPr>
      <w:color w:val="1D4ED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nbqygqru-s8hmhfunzld" Type="http://schemas.openxmlformats.org/officeDocument/2006/relationships/hyperlink" Target="https://www.nejm.org/doi/full/10.1056/NEJMoa1910434" TargetMode="External"/><Relationship Id="rId3moe_mlowtzlszwooeze4" Type="http://schemas.openxmlformats.org/officeDocument/2006/relationships/hyperlink" Target="https://www.amgen.com/newsroom/press-releases/2023/10/amgen-completes-acquisition-of-horizon-therapeutics-plc" TargetMode="External"/><Relationship Id="rIdltgo94s5offjcyic2gykv" Type="http://schemas.openxmlformats.org/officeDocument/2006/relationships/hyperlink" Target="https://pmc.ncbi.nlm.nih.gov/articles/PMC11874229/" TargetMode="External"/><Relationship Id="rIdl8327p2tclvyup_ujg72e" Type="http://schemas.openxmlformats.org/officeDocument/2006/relationships/hyperlink" Target="https://www.nejm.org/doi/full/10.1056/NEJMra2125950" TargetMode="External"/><Relationship Id="rIdblywvsx3axp9qidtofce1" Type="http://schemas.openxmlformats.org/officeDocument/2006/relationships/hyperlink" Target="https://www.nejm.org/doi/full/10.1056/NEJMoa1910434" TargetMode="External"/><Relationship Id="rIdh7tqpdxmerfeekcxjf61f" Type="http://schemas.openxmlformats.org/officeDocument/2006/relationships/hyperlink" Target="https://pmc.ncbi.nlm.nih.gov/articles/PMC12545473/" TargetMode="External"/><Relationship Id="rIdhcajbzbhgi9d6fdfafbkf" Type="http://schemas.openxmlformats.org/officeDocument/2006/relationships/hyperlink" Target="https://www.nejm.org/doi/full/10.1056/NEJMoa1910434" TargetMode="External"/><Relationship Id="rIdjcdhiplmh8kw-zfz1l3lr" Type="http://schemas.openxmlformats.org/officeDocument/2006/relationships/hyperlink" Target="https://pmc.ncbi.nlm.nih.gov/articles/PMC12545473/" TargetMode="External"/><Relationship Id="rIded4_bqzk1zkt8bcd_jnd3" Type="http://schemas.openxmlformats.org/officeDocument/2006/relationships/hyperlink" Target="https://www.nejm.org/doi/full/10.1056/NEJMoa1910434" TargetMode="External"/><Relationship Id="rIdmdvjk2ht5mgphysp_mx_e" Type="http://schemas.openxmlformats.org/officeDocument/2006/relationships/hyperlink" Target="https://www.amgen.com/newsroom/press-releases/2023/10/amgen-completes-acquisition-of-horizon-therapeutics-plc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2026-06-09T23:08:10.650Z</dcterms:created>
  <dcterms:modified xsi:type="dcterms:W3CDTF">2026-06-09T23:08:10.650Z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