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9,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IL-4Rα × OX40L in atopic dermatitis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~16.5M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adults with AD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~6.6M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moderate-to-severe (adults)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~38% / ~45%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dupilumab IGA0/1 · EASI-75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$14B+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Dupixent franchise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axes: effector + T-cell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Atopic dermatitis is the most commercially proven type-2 disease: </w:t>
      </w:r>
      <w:r>
        <w:rPr>
          <w:b/>
          <w:bCs/>
        </w:rPr>
        <w:t xml:space="preserve">dupilumab</w:t>
      </w:r>
      <w:r>
        <w:t xml:space="preserve"> (anti-IL-4Rα) anchors a &gt;$14B franchise by blocking the IL-4/IL-13 effector cytokines, and </w:t>
      </w:r>
      <w:r>
        <w:rPr>
          <w:b/>
          <w:bCs/>
        </w:rPr>
        <w:t xml:space="preserve">IL-13</w:t>
      </w:r>
      <w:r>
        <w:t xml:space="preserve">-selective agents (lebrikizumab, tralokinumab) and oral JAKs fill the rest of the shelf. The newer frontier is the </w:t>
      </w:r>
      <w:r>
        <w:rPr>
          <w:b/>
          <w:bCs/>
        </w:rPr>
        <w:t xml:space="preserve">T cell</w:t>
      </w:r>
      <w:r>
        <w:t xml:space="preserve"> itself: </w:t>
      </w:r>
      <w:r>
        <w:rPr>
          <w:b/>
          <w:bCs/>
        </w:rPr>
        <w:t xml:space="preserve">amlitelimab</w:t>
      </w:r>
      <w:r>
        <w:t xml:space="preserve"> (anti-OX40L) and </w:t>
      </w:r>
      <w:r>
        <w:rPr>
          <w:b/>
          <w:bCs/>
        </w:rPr>
        <w:t xml:space="preserve">rocatinlimab</w:t>
      </w:r>
      <w:r>
        <w:t xml:space="preserve"> (anti-OX40) block the costimulation that expands pathogenic Th2 memory, and have shown deep, increasingly durable responses. The unresolved question is whether combining downstream effector control (IL-4Rα) with upstream T-cell modulation (OX40L) in one molecule delivers </w:t>
      </w:r>
      <w:r>
        <w:rPr>
          <w:b/>
          <w:bCs/>
        </w:rPr>
        <w:t xml:space="preserve">dupilumab-fast clearance plus durability suggestive of disease modification</w:t>
      </w:r>
      <w:r>
        <w:t xml:space="preserve"> — fewer doses, longer drug-free intervals. That disease-modification claim is a signal, not proof. No IL-4Rα×OX40L bispecific has human efficacy data; the closest test is Apogee's APG279, an </w:t>
      </w:r>
      <w:r>
        <w:rPr>
          <w:b/>
          <w:bCs/>
        </w:rPr>
        <w:t xml:space="preserve">adjacent</w:t>
      </w:r>
      <w:r>
        <w:t xml:space="preserve"> pairing — IL-13 + OX40L, not IL-4Rα + OX40L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IL-4Rα is approved and durable; OX40L blockade is Phase 3-positive (amlitelimab) with a durability signal; the dual-mechanism bispecific is unproven. The opportunity is fast skin clearance plus a longer, more durable, less-frequently-dosed response than either mechanism delivers alone.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Validation ≠ differentiation ≠ premium. </w:t>
            </w:r>
            <w:r>
              <w:t xml:space="preserve">Both arms are clinically validated — IL-4Rα blockade is approved, OX40L blockade is Phase 3-positive. </w:t>
            </w:r>
            <w:r>
              <w:rPr>
                <w:b/>
                <w:bCs/>
              </w:rPr>
              <w:t xml:space="preserve">Differentiation</w:t>
            </w:r>
            <w:r>
              <w:t xml:space="preserve"> requires that combining them produces additive clinical value — chiefly durability / drug-free remission — beyond the best monotherapy; that is unproven. A </w:t>
            </w:r>
            <w:r>
              <w:rPr>
                <w:b/>
                <w:bCs/>
              </w:rPr>
              <w:t xml:space="preserve">premium</w:t>
            </w:r>
            <w:r>
              <w:t xml:space="preserve"> requires clinical evidence of that benefit. The OX40 axis's durability is a </w:t>
            </w:r>
            <w:r>
              <w:rPr>
                <w:b/>
                <w:bCs/>
              </w:rPr>
              <w:t xml:space="preserve">signal, not proof</w:t>
            </w:r>
            <w:r>
              <w:t xml:space="preserve"> of disease modification, and this brief treats it as such.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an IL-4Rα / OX40L asset is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Skin clearance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EASI-75 and IGA 0/1 are the registrational currency; the bar is dupilumab (~45% / ~38% Wk16) and the IL-13 agents, with oral JAKs higher (~70-80%) but boxed-warning-limited.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Itch / speed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rapid itch relief drives patient preference and adherence; dupilumab improves itch within days — the experiential bar.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Durability / disease modification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OX40 axis's distinctive claim is deeper, longer responses and drug-free intervals — the lever a T-cell mechanism adds over pure effector blockade.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 targets Q12W and APG777 even less frequent; infrequent dosing is a real differentiator vs dupilumab Q2W.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type-2 safety is expected; OX40-receptor blockade carries a Kaposi's signal (rocatinlimab) that OX40L (ligand) blockade may avoid — a mechanistic differentiator.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target-space (IL-4Rα, IL-13, OX40/OX40L, IL-31) and indication-space (oral JAKs, topicals) — one of the most crowded areas in immunology.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The AD field has shifted from 'can we hit type-2?' (answered) to 'can we do it more durably and more conveniently than dupilumab?' Amlitelimab's Phase 3 wins and its </w:t>
      </w:r>
      <w:hyperlink w:history="1" r:id="rIdq72giqbskbnylsjt6b2ri">
        <w:r>
          <w:rPr>
            <w:rStyle w:val="Hyperlink"/>
          </w:rPr>
          <w:t xml:space="preserve">increasing-through-Week-24 response</w:t>
        </w:r>
      </w:hyperlink>
      <w:r>
        <w:t xml:space="preserve"> put T-cell costimulation blockade on the map; Apogee's </w:t>
      </w:r>
      <w:hyperlink w:history="1" r:id="rIdmxgapj9syshsemu6xm8zs">
        <w:r>
          <w:rPr>
            <w:rStyle w:val="Hyperlink"/>
          </w:rPr>
          <w:t xml:space="preserve">APG279 (anti-IL-13 + anti-OX40L) combination</w:t>
        </w:r>
      </w:hyperlink>
      <w:r>
        <w:t xml:space="preserve"> is the explicit two-antibody test of effector + T-cell modulation — though it pairs IL-13 (not IL-4Rα) with OX40L, an adjacent version of the thesis. A single IL-4Rα×OX40L bispecific is the one-molecule form, and must prove the combination beats the best monotherapy on durability, not merely match it on clearance.</w:t>
      </w:r>
    </w:p>
    <w:p>
      <w:pPr>
        <w:pStyle w:val="Heading1"/>
      </w:pPr>
      <w:r>
        <w:t xml:space="preserve">1 · Patient &amp; disease</w:t>
      </w:r>
    </w:p>
    <w:p>
      <w:pPr>
        <w:spacing w:after="120"/>
      </w:pPr>
      <w:r>
        <w:t xml:space="preserve">Atopic dermatitis is a chronic, relapsing, intensely itchy barrier-and-immune disease beginning mostly in childhood; </w:t>
      </w:r>
      <w:hyperlink w:history="1" r:id="rIdl-b4usmazsqkfen2iqqv8">
        <w:r>
          <w:rPr>
            <w:rStyle w:val="Hyperlink"/>
          </w:rPr>
          <w:t xml:space="preserve">~16.5M US adults are affected and ~40% (≈6.6M) have moderate-to-severe disease</w:t>
        </w:r>
      </w:hyperlink>
      <w:r>
        <w:t xml:space="preserve">. The pathology is a self-reinforcing cycle: a defective skin barrier (filaggrin) lets in allergens and microbes, type-2 cytokines (IL-4/IL-13/IL-31) drive inflammation and itch, scratching further breaks the barrier, and OX40-driven T-cell memory entrenches the disease. The unmet need is not whether type-2 blockade works — it does — but depth (complete clearance), durability (drug-free remission), and convenience.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AD patients live with relentless itch, disfiguring flares, sleep loss and significant anxiety/depression; many have cycled through topical steroids, dupilumab or a JAK. 'Better,' from their side, is clear skin and no itch — fast — without daily pills or frequent injections, and ideally a treatment they can pause. That is precisely the profile (deep, durable, infrequently dosed) a combined effector + T-cell mechanism is designed to deliver, and the reason durability and dosing — not raw efficacy — are where value concentrates.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Dupilumab controls the IL-4/IL-13 effector but must be continued indefinitely; OX40L blockade modulates the T cells upstream and shows responses that deepen over time and may persist off-drug. Each mechanism leaves something on the table — effector blockade lacks durability, T-cell blockade is slower to clear skin. One molecule doing both is the mechanistic case for a fast-and-durable agent.</w:t>
      </w:r>
    </w:p>
    <w:p>
      <w:pPr>
        <w:pStyle w:val="Heading1"/>
      </w:pPr>
      <w:r>
        <w:t xml:space="preserve">2 · Lines of therapy &amp; where these mechanisms 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74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Atopic dermatitis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topical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emollients, topical corticosteroids, topical calcineurin / PDE4 / JAK (ruxolitinib cream)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systemic (advanced)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biologics — dupilumab (IL-4Rα), lebrikizumab / tralokinumab (IL-13), nemolizumab (IL-31R); or oral JAK (upadacitinib, abrocitinib)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Emerging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 (OX40L), rocatinlimab (OX40), APG777 (IL-13, infrequent dosing), APG279 (IL-13 + OX40L combo)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Where a bispecific enters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biologic-experienced / inadequate responders first, then earlier with durability + dosing data</w:t>
            </w:r>
          </w:p>
        </w:tc>
      </w:tr>
    </w:tbl>
    <w:p>
      <w:pPr>
        <w:spacing w:after="120"/>
      </w:pPr>
      <w:r>
        <w:t xml:space="preserve">Unlike IBD, AD has no payer-mandated step through an older biologic — but the shelf is crowded, so a new agent enters in dupilumab/JAK-experienced or inadequate responders and earns earlier placement only with a clear durability or convenience edge. Value scales with the ability to displace dupilumab as the anchor, or to own the 'durable remission' positioning it does not claim.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The bet pairs an effector node with a T-cell node. </w:t>
      </w:r>
      <w:r>
        <w:rPr>
          <w:b/>
          <w:bCs/>
        </w:rPr>
        <w:t xml:space="preserve">IL-4Rα</w:t>
      </w:r>
      <w:r>
        <w:t xml:space="preserve"> (the </w:t>
      </w:r>
      <w:hyperlink w:history="1" r:id="rIdz2dheraahuoq-kxjzruop">
        <w:r>
          <w:rPr>
            <w:rStyle w:val="Hyperlink"/>
          </w:rPr>
          <w:t xml:space="preserve">IL4R gene product</w:t>
        </w:r>
      </w:hyperlink>
      <w:r>
        <w:t xml:space="preserve">) is the shared receptor for IL-4 and IL-13 — the type-2 cytokines that drive barrier dysfunction, inflammation and itch; it is dupilumab's target and a validated AD susceptibility locus alongside IL13 and filaggrin (FLG). </w:t>
      </w:r>
      <w:r>
        <w:rPr>
          <w:b/>
          <w:bCs/>
        </w:rPr>
        <w:t xml:space="preserve">OX40L</w:t>
      </w:r>
      <w:r>
        <w:t xml:space="preserve"> (TNFSF4, on antigen-presenting cells) engages </w:t>
      </w:r>
      <w:r>
        <w:rPr>
          <w:b/>
          <w:bCs/>
        </w:rPr>
        <w:t xml:space="preserve">OX40</w:t>
      </w:r>
      <w:r>
        <w:t xml:space="preserve"> (TNFRSF4) on activated T cells to costimulate the expansion and survival of pathogenic Th2 memory — upstream of the cytokines. </w:t>
      </w:r>
      <w:r>
        <w:rPr>
          <w:b/>
          <w:bCs/>
        </w:rPr>
        <w:t xml:space="preserve">On-target consideration: </w:t>
      </w:r>
      <w:r>
        <w:t xml:space="preserve">OX40–OX40L modulates T-cell biology broadly, so the relevant safety question is immune-modulation: OX40-receptor blockade (rocatinlimab) is the more complete T-cell suppressant, while OX40L (ligand) blockade, being more upstream and less completely T-cell-suppressive, may carry a cleaner profile.</w:t>
      </w:r>
    </w:p>
    <w:p>
      <w:pPr>
        <w:pStyle w:val="Heading2"/>
      </w:pPr>
      <w:r>
        <w:t xml:space="preserve">Why both, and what is already proven</w:t>
      </w:r>
    </w:p>
    <w:p>
      <w:pPr>
        <w:spacing w:after="120"/>
      </w:pPr>
      <w:r>
        <w:t xml:space="preserve">Effector blockade is fully validated and fast but not curative: </w:t>
      </w:r>
      <w:hyperlink w:history="1" r:id="rIdvdmoyiyaerqzgxiqjidvd">
        <w:r>
          <w:rPr>
            <w:rStyle w:val="Hyperlink"/>
          </w:rPr>
          <w:t xml:space="preserve">dupilumab clears skin in weeks</w:t>
        </w:r>
      </w:hyperlink>
      <w:r>
        <w:t xml:space="preserve"> yet must be continued. T-cell costimulation blockade is now validated too — </w:t>
      </w:r>
      <w:hyperlink w:history="1" r:id="rIdq5ng1wrubhefavivkoaxx">
        <w:r>
          <w:rPr>
            <w:rStyle w:val="Hyperlink"/>
          </w:rPr>
          <w:t xml:space="preserve">amlitelimab met all Phase 3 endpoints with responses that increased through Week 24</w:t>
        </w:r>
      </w:hyperlink>
      <w:r>
        <w:t xml:space="preserve"> — and points at durability signals (responses that deepened through Week 24) suggestive of, but not yet proof of, disease modification. The two are complementary: IL-4Rα for speed and depth of clearance, OX40L for durability (and possible disease modification, unproven). The combination is the mechanism-level answer to AD's real gap — keeping patients clear, longer, with fewer doses.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OX40L-driven durability and IL-4Rα-driven clearance are complementary, a dual agent should match dupilumab on skin clearance while extending drug-free remission and lengthening dosing intervals. It is falsifiable: if the combination only matches monotherapy clearance with no durability gain, the single-molecule premium does not hold. </w:t>
            </w:r>
            <w:hyperlink w:history="1" r:id="rId8gvg-goyh6cqxkxpaivkv">
              <w:r>
                <w:rPr>
                  <w:rStyle w:val="Hyperlink"/>
                </w:rPr>
                <w:t xml:space="preserve">Apogee's APG279 (IL-13 + OX40L)</w:t>
              </w:r>
            </w:hyperlink>
            <w:r>
              <w:t xml:space="preserve"> is the first clinical test of an adjacent pairing (IL-13 + OX40L, not IL-4Rα + OX40L); no IL-4Rα×OX40L bispecific has reported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the pivotal AD population (not head-to-head — trials, populations and endpoints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060"/>
        <w:gridCol w:w="31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/ format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EASI-75 / note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dupilumab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/ Regeneron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anti-IL-4Rα mAb, SC Q2W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 (Wk16); the bar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lebrikizumab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Lilly / Almirall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anti-IL-13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~50-60% w/ maintenance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tralokinumab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LEO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anti-IL-13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dupilumab-comparable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nemolizumab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Galderma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anti-IL-31R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itch-focused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(Kymab)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→ filing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anti-OX40L mAb, SC Q4-12W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 Ph3 positive; durable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rocatinlimab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Kyowa Kirin (ex-Amgen)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anti-OX40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ROCKET Ph3 positive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APG777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Apogee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(2H26)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anti-IL-13 mAb, SC (LA)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APEX positive; infrequent dosing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APG279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Apogee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Ph1/2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IL-13 + OX40L combo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two-antibody dual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biologic standard is </w:t>
            </w:r>
            <w:hyperlink w:history="1" r:id="rIdunlqqnmc1wf6zxhhvw7ai">
              <w:r>
                <w:rPr>
                  <w:rStyle w:val="Hyperlink"/>
                </w:rPr>
                <w:t xml:space="preserve">dupilumab — IGA 0/1 ~38% and EASI-75 ~45% at Week 16</w:t>
              </w:r>
            </w:hyperlink>
            <w:r>
              <w:t xml:space="preserve"> (IL-13 agents similar); oral JAKs reach EASI-75 ~70-80% but carry a boxed warning. A dual IL-4Rα×OX40L agent must match the biologic clearance bar and win on what biologics don't claim — durability, drug-free remission, and dosing interval — to justify its complexity.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Who controls each asset and whether it can be transacted: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50"/>
        <w:gridCol w:w="1350"/>
        <w:gridCol w:w="456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dupilumab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+ Regeneron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franchise; defines the bar, not for sale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already owns the lead OX40L asset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rocatinlimab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Kyowa Kirin (ex-Amgen)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Kyowa-held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OX40 (receptor) play; Amgen returned rights Jan 2026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lebrikizumab / tralokinumab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Lilly/Almirall · LEO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IL-13 effectors; spoken for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APG777 / APG279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Apogee (independent)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cleanest independent: IL-13 long-acting + the IL-13×OX40L combo thesis in one company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validated effector and T-cell assets are locked inside large pharma (Sanofi holds both dupilumab and amlitelimab). The transactable optionality is concentrated in </w:t>
      </w:r>
      <w:r>
        <w:rPr>
          <w:b/>
          <w:bCs/>
        </w:rPr>
        <w:t xml:space="preserve">Apogee</w:t>
      </w:r>
      <w:r>
        <w:t xml:space="preserve"> — long-acting IL-13 plus the explicit effector + OX40L combination — and in earlier or China-origin bispecific programs. For a buyer wanting a next-generation, durable, infrequently-dosed AD asset, that is where the position is acquirable.</w:t>
      </w:r>
    </w:p>
    <w:p>
      <w:pPr>
        <w:pStyle w:val="Heading1"/>
      </w:pPr>
      <w:r>
        <w:t xml:space="preserve">5 · Alternative mechanisms &amp; the broader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an IL-4Rα×OX40L agent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Anti-IL-4Rα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dupilumab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franchise and clearance/safety bar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Anti-IL-13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lebrikizumab, tralokinumab, APG777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/ late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effector-equivalent; APG777 adds infrequent dosing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Anti-OX40 / OX40L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rocatinlimab, amlitelimab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/ filing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T-cell axis; durability is the differentiator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Anti-IL-31R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nemolizumab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itch-specific; complementary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Oral JAK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upadacitinib, abrocitinib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highest clearance but boxed warning; the oral-convenience threat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AD is among the most crowded immunology markets, and efficacy alone no longer differentiates. The defensible claim for a combined effector + T-cell agent is </w:t>
      </w:r>
      <w:r>
        <w:rPr>
          <w:b/>
          <w:bCs/>
        </w:rPr>
        <w:t xml:space="preserve">durable, drug-free remission with infrequent dosing</w:t>
      </w:r>
      <w:r>
        <w:t xml:space="preserve"> — a positioning dupilumab and the IL-13 agents do not own and that oral JAKs cannot safely claim. The competition to watch is amlitelimab (defining the OX40L durability story) and APG279 (an adjacent IL-13 + OX40L version of the dual thesis).</w:t>
      </w:r>
    </w:p>
    <w:p>
      <w:pPr>
        <w:spacing w:after="120"/>
      </w:pPr>
      <w:r>
        <w:rPr>
          <w:b/>
          <w:bCs/>
        </w:rPr>
        <w:t xml:space="preserve">The JAK question a buyer will ask first. </w:t>
      </w:r>
      <w:r>
        <w:t xml:space="preserve">If </w:t>
      </w:r>
      <w:hyperlink w:history="1" r:id="rId5cf8mz2yzw9ib_v1vuppz">
        <w:r>
          <w:rPr>
            <w:rStyle w:val="Hyperlink"/>
          </w:rPr>
          <w:t xml:space="preserve">upadacitinib (Rinvoq) already reaches EASI-75 ~70-80%</w:t>
        </w:r>
      </w:hyperlink>
      <w:r>
        <w:t xml:space="preserve"> — well above any biologic — why build a dual biologic at all? The honest answer is that the bispecific does not win on clearance; it wins on what an oral JAK cannot safely offer: a clean long-term safety profile (no boxed warning) and durable, drug-free remission. If a dual agent cannot credibly claim safety-plus-durability the orals lack, the strategic rationale weakens.</w:t>
      </w:r>
    </w:p>
    <w:p>
      <w:pPr>
        <w:spacing w:after="120"/>
      </w:pPr>
      <w:r>
        <w:rPr>
          <w:b/>
          <w:bCs/>
        </w:rPr>
        <w:t xml:space="preserve">Beyond AD. </w:t>
      </w:r>
      <w:r>
        <w:t xml:space="preserve">The IL-4/IL-13 and OX40 axes extend across type-2 and autoimmune disease — asthma, CRSwNP, prurigo nodularis, chronic urticaria, alopecia areata, and others (dupilumab alone spans 8 indications). A durable dual agent carries broad label-expansion optionality beyond the AD numbers above.</w:t>
      </w:r>
    </w:p>
    <w:p>
      <w:pPr>
        <w:pStyle w:val="Heading1"/>
      </w:pPr>
      <w:r>
        <w:t xml:space="preserve">6 · Safety &amp; differentiation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Type-2 blockade is clean. </w:t>
      </w:r>
      <w:r>
        <w:t xml:space="preserve">IL-4Rα and IL-13 agents have favorable long-term safety (conjunctivitis is the notable dupilumab AE); this is the safety backdrop a dual agent inherits.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OX40 vs OX40L is a real mechanistic split. </w:t>
      </w:r>
      <w:hyperlink w:history="1" r:id="rIdqqcn8nyghksesomlnb6cw">
        <w:r>
          <w:rPr>
            <w:rStyle w:val="Hyperlink"/>
          </w:rPr>
          <w:t xml:space="preserve">Rocatinlimab (anti-OX40, receptor)</w:t>
        </w:r>
      </w:hyperlink>
      <w:r>
        <w:t xml:space="preserve"> is the more complete T-cell suppressant; amlitelimab (anti-OX40L, ligand) blockade is more upstream and less completely T-cell-suppressive, and may carry a cleaner immune-modulation profile — a differentiator a bispecific should design toward (the ligand arm).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&amp; CMC. </w:t>
      </w:r>
      <w:r>
        <w:t xml:space="preserve">A dual-target, long-acting molecule must show low ADA and a manufacturable high-concentration SC formulation supporting the infrequent dosing that is half its value proposition.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 FDA approval (AD)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OX40L approval; durability story validated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APG777 Phase 3 start (AD)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2H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infrequent-dosing IL-13 advances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Rocatinlimab ORIGIN final data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2026–2027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OX40 (receptor) efficacy/safety profile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IL-4Rα×OX40L bispecific human data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2027–2028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dual effector + T-cell test</w:t>
            </w:r>
          </w:p>
        </w:tc>
      </w:tr>
    </w:tbl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AD biologics are reimbursed without a mandated older-biologic step, so payers compete agents on net cost and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Clearance + itch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EASI-75 / IGA 0/1 and rapid itch relief — the outcomes that justify a biologic over topicals and orals.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Durability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deeper, longer responses (and drug-free intervals) lower total cost of disease — the economic case for a T-cell mechanism.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cost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Q12W or longer dosing and home self-injection reduce drug and administration cost vs Q2W; a real net-cost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dupilumab and the IL-13 agents; a dual agent must show a durability or dosing edge to win preference in a crowded class.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Oral competition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 JAKs cap pricing power; the biologic must justify itself on safety and durability, not convenience alone.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anchors. </w:t>
      </w:r>
      <w:r>
        <w:t xml:space="preserve">AD biologics list in the ~$3-4k/month range and are judged on net cost after rebates. With </w:t>
      </w:r>
      <w:hyperlink w:history="1" r:id="rIdc5sjnvsegskfxhvefwz4b">
        <w:r>
          <w:rPr>
            <w:rStyle w:val="Hyperlink"/>
          </w:rPr>
          <w:t xml:space="preserve">Dupixent a &gt;$14B franchise</w:t>
        </w:r>
      </w:hyperlink>
      <w:r>
        <w:t xml:space="preserve">, the prize is large — but value accrues to the agent that owns 'durable remission,' the one positioning the incumbents leave open.</w:t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 / asset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Amgen-Kyowa (rocatinlimab)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co-dev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→ returned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2021 OX40 co-development; Amgen returned rights to Kyowa Kirin Jan 2026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Sanofi-Kymab (amlitelimab)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~$1.1B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preclin→Ph2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OX40L asset acquired ahead of Phase 3 wins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Apogee (independent)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public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Ph2/3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IL-13 long-acting + IL-13×OX40L combo; the transactable platform</w:t>
            </w:r>
          </w:p>
        </w:tc>
      </w:tr>
    </w:tbl>
    <w:p>
      <w:pPr>
        <w:spacing w:after="120"/>
      </w:pPr>
      <w:r>
        <w:t xml:space="preserve">These anchor an AD T-cell/effector asset's value. The same first dual-mechanism signal earns very different multiples by the surrounding durability and dosing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a credible dual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dupilumab-level clearance + durable remission + infrequent dosing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$4-8B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owns the positioning the incumbents lack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clearance parity, no durability edge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$1-3B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another type-2 biologic in a crowded class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advantage over monotherapy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more complex dupilumab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Unlike IBD and respiratory, the AD frontier is led by Western pharma (Sanofi, Amgen/Kyowa Kirin, Lilly, LEO, Galderma) plus US biotech (Apogee), with China-origin OX40/OX40L and IL-13 bispecific programs emerging behind them. Sanofi's ownership of both the effector (dupilumab) and T-cell (amlitelimab) leaders makes it the natural internal builder — and the most demanding competitor — of a dual agent; the transactable bispecific optionality sits with independents (Apogee) and the next wave of China-origin dual-target programs.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dual agent: clearance parity + durability gain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owns 'durable remission'; premium AD asset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clearance parity, modest durability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incremental; competes in a crowded class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amlitelimab/APG279 define durability first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monotherapy/combo gets there first; dual premium compresses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no advantage over monotherapy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reverts to a complex me-too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a dual IL-4Rα×OX40L agent only matches dupilumab on clearance with no durability or dosing advantage, it is a more complex version of an entrenched, cheap-by-rebate biologic with no clear buyer. The defense is a trial designed to read the durability / drug-free-remission signal early — the one axis that justifies the combination — before committing full Phase 3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clinical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Dual blockade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simultaneous IL-4Rα + OX40L engagement on one molecule; potency vs benchmark dupilumab and amlitelimab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Durability signal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evidence (preclinical or early clinical) of deeper/longer responses and drug-free remission beyond effector blockade alone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Ligand-arm safety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OX40L (ligand) blockade chosen to avoid the OX40-receptor Kaposi's risk; clean immune-surveillance profile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PK / dosing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 supporting Q12W or longer SC dosing — the convenience half of the value case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 / immunogenicity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high-concentration SC formulation; low ADA; titer and developability de-risked</w:t>
            </w:r>
          </w:p>
        </w:tc>
      </w:tr>
    </w:tbl>
    <w:p>
      <w:pPr>
        <w:pStyle w:val="Heading1"/>
      </w:pPr>
      <w:r>
        <w:t xml:space="preserve">Why this thesis could fail</w:t>
      </w:r>
    </w:p>
    <w:p>
      <w:pPr>
        <w:spacing w:after="120"/>
      </w:pPr>
      <w:r>
        <w:t xml:space="preserve">The anti-thesis — the reasons a dual IL-4Rα×OX40L agent may not justify itself: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68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could happen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OX40L benefit emerges too slowly</w:t>
            </w:r>
          </w:p>
        </w:tc>
        <w:tc>
          <w:tcPr>
            <w:tcW w:type="dxa" w:w="6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T-cell arm's value is durability that builds over months; if onset is slow, patients and prescribers default to fast effector agents and the durability edge never gets a fair test.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Durability ≠ superior remission</w:t>
            </w:r>
          </w:p>
        </w:tc>
        <w:tc>
          <w:tcPr>
            <w:tcW w:type="dxa" w:w="6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deeper, longer responses may not translate into a clinically or commercially meaningful advantage over continued dupilumab — durability is a signal, not yet proven disease modification.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 just reproduces dupilumab</w:t>
            </w:r>
          </w:p>
        </w:tc>
        <w:tc>
          <w:tcPr>
            <w:tcW w:type="dxa" w:w="6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if the combination only matches IL-4Rα clearance with no durability gain, it is a more complex, more expensive dupilumab with no buyer.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JAKs own the efficacy ceiling</w:t>
            </w:r>
          </w:p>
        </w:tc>
        <w:tc>
          <w:tcPr>
            <w:tcW w:type="dxa" w:w="6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upadacitinib already clears more skin (EASI-75 ~70-80%); if its safety improves, the biologic's safety-plus-durability differentiation narrows.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 builds it internally</w:t>
            </w:r>
          </w:p>
        </w:tc>
        <w:tc>
          <w:tcPr>
            <w:tcW w:type="dxa" w:w="6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owns both dupilumab and amlitelimab and is the natural — and most demanding — builder of the combination, compressing a third party's window.</w:t>
            </w:r>
          </w:p>
        </w:tc>
      </w:tr>
    </w:tbl>
    <w:p>
      <w:pPr>
        <w:pStyle w:val="Heading1"/>
      </w:pPr>
      <w:r>
        <w:t xml:space="preserve">13 · Standing predictions</w:t>
      </w:r>
    </w:p>
    <w:p>
      <w:pPr>
        <w:spacing w:after="120"/>
      </w:pPr>
      <w:r>
        <w:rPr>
          <w:i/>
          <w:iCs/>
        </w:rPr>
        <w:t xml:space="preserve">Confidence is a 1-5 calibration of how firmly the evidence supports the call (5 = strong data + precedent; 2 = mechanistic hypothesis).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1150"/>
        <w:gridCol w:w="1250"/>
        <w:gridCol w:w="1550"/>
        <w:gridCol w:w="2160"/>
      </w:tblGrid>
      <w:tr>
        <w:trPr>
          <w:tblHeader/>
        </w:trPr>
        <w:tc>
          <w:tcPr>
            <w:tcW w:type="dxa" w:w="3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  <w:tc>
          <w:tcPr>
            <w:tcW w:type="dxa" w:w="21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 · basis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 is FDA-approved in AD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approval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2027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4/5 · 3 Ph3 positive; filing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APG777 reports positive Phase 3 induction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60-70%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3/5 · Ph2 APEX positive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IL-4Rα×OX40L bispecific reaches the clinic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first-to-clinic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45-55%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2027 – 2028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2/5 · mechanistic; no clinical asset yet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Apogee is acquired by a large-cap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35-45%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 – 2027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2/5 · attractive but well-capitalized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dual agent matching but not out-lasting dupilumab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single-molecule premium collapses; value &lt; $1B (Section 11)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amlitelimab/APG279 establishing durable drug-free remission first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monotherapy/combo owns the positioning; dual thesis compresses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OX40-axis safety signal extending to ligand blockade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 across the OX40L approach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JAKs solving their safety profile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oral-convenience threat widens; injectable differentiation narrows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source; where a claim is a hypothesis (the durability premium, the disease-modification premise) it is labelled as such, not asserted as fact.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72giqbskbnylsjt6b2ri" Type="http://schemas.openxmlformats.org/officeDocument/2006/relationships/hyperlink" Target="https://www.sanofi.com/en/media-room/press-releases/2025/2025-09-04-05-00-00-3144170" TargetMode="External"/><Relationship Id="rIdmxgapj9syshsemu6xm8zs" Type="http://schemas.openxmlformats.org/officeDocument/2006/relationships/hyperlink" Target="https://www.biospace.com/press-releases/apogee-therapeutics-announces-positive-16-week-part-b-induction-dose-optimization-results-from-phase-2-apex-trial-of-zumilokibart-in-moderate-to-severe-atopic-dermatitis" TargetMode="External"/><Relationship Id="rIdl-b4usmazsqkfen2iqqv8" Type="http://schemas.openxmlformats.org/officeDocument/2006/relationships/hyperlink" Target="https://pubmed.ncbi.nlm.nih.gov/30389491/" TargetMode="External"/><Relationship Id="rIdz2dheraahuoq-kxjzruop" Type="http://schemas.openxmlformats.org/officeDocument/2006/relationships/hyperlink" Target="https://www.nature.com/articles/s41572-018-0001-z" TargetMode="External"/><Relationship Id="rIdvdmoyiyaerqzgxiqjidvd" Type="http://schemas.openxmlformats.org/officeDocument/2006/relationships/hyperlink" Target="https://www.nejm.org/doi/full/10.1056/NEJMoa1610020" TargetMode="External"/><Relationship Id="rIdq5ng1wrubhefavivkoaxx" Type="http://schemas.openxmlformats.org/officeDocument/2006/relationships/hyperlink" Target="https://www.sanofi.com/en/media-room/press-releases/2025/2025-09-04-05-00-00-3144170" TargetMode="External"/><Relationship Id="rId8gvg-goyh6cqxkxpaivkv" Type="http://schemas.openxmlformats.org/officeDocument/2006/relationships/hyperlink" Target="https://www.biospace.com/press-releases/apogee-therapeutics-announces-positive-16-week-part-b-induction-dose-optimization-results-from-phase-2-apex-trial-of-zumilokibart-in-moderate-to-severe-atopic-dermatitis" TargetMode="External"/><Relationship Id="rIdunlqqnmc1wf6zxhhvw7ai" Type="http://schemas.openxmlformats.org/officeDocument/2006/relationships/hyperlink" Target="https://www.nejm.org/doi/full/10.1056/NEJMoa1610020" TargetMode="External"/><Relationship Id="rId5cf8mz2yzw9ib_v1vuppz" Type="http://schemas.openxmlformats.org/officeDocument/2006/relationships/hyperlink" Target="https://www.nejm.org/doi/full/10.1056/NEJMoa2206714" TargetMode="External"/><Relationship Id="rIdqqcn8nyghksesomlnb6cw" Type="http://schemas.openxmlformats.org/officeDocument/2006/relationships/hyperlink" Target="https://www.amgen.com/newsroom/press-releases/2025/03/amgen-and-kyowa-kirin-provide-top-line-results-from-rocatinlimab-phase-3-ignite-study-in-adults-with-moderate-to-severe-atopic-dermatitis" TargetMode="External"/><Relationship Id="rIdc5sjnvsegskfxhvefwz4b" Type="http://schemas.openxmlformats.org/officeDocument/2006/relationships/hyperlink" Target="https://www.globaldata.com/data-insights/healthcare/the-global-drug-sales-of-dupixent-1127446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2026-06-10T00:06:00.834Z</dcterms:created>
  <dcterms:modified xsi:type="dcterms:W3CDTF">2026-06-10T00:06:00.834Z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