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UC/CD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bsywzk3k7zkex4lus82dn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currently in Phase 3; the dual-mechanism bispecific is unproven and, in the clinic, uncrowded. The opportunity is the gap between today's ~15-20% deep-remission ceiling and a </w:t>
            </w:r>
            <w:r>
              <w:rPr>
                <w:b/>
                <w:bCs/>
              </w:rPr>
              <w:t xml:space="preserve">potentially higher ceiling</w:t>
            </w:r>
            <w:r>
              <w:t xml:space="preserve"> if TL1A and IL-23 represent partially non-overlapping escape pathways — the magnitude of that improvement is unknown. A 30-40% deep-remission rate is </w:t>
            </w:r>
            <w:r>
              <w:rPr>
                <w:b/>
                <w:bCs/>
              </w:rPr>
              <w:t xml:space="preserve">one plausible upside scenario, not a forecast</w:t>
            </w:r>
            <w:r>
              <w:t xml:space="preserve">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Three separate validations — keep them apart. </w:t>
            </w:r>
            <w:r>
              <w:rPr>
                <w:b/>
                <w:bCs/>
              </w:rPr>
              <w:t xml:space="preserve">TL1A validation</w:t>
            </w:r>
            <w:r>
              <w:t xml:space="preserve"> (the target works) and </w:t>
            </w:r>
            <w:r>
              <w:rPr>
                <w:b/>
                <w:bCs/>
              </w:rPr>
              <w:t xml:space="preserve">IL-23 validation</w:t>
            </w:r>
            <w:r>
              <w:t xml:space="preserve"> (the target works) are both established. </w:t>
            </w:r>
            <w:r>
              <w:rPr>
                <w:b/>
                <w:bCs/>
              </w:rPr>
              <w:t xml:space="preserve">Combination validation</w:t>
            </w:r>
            <w:r>
              <w:t xml:space="preserve"> — that blocking both in one molecule produces additive clinical benefit beyond the best monotherapy or the free combination — is </w:t>
            </w:r>
            <w:r>
              <w:rPr>
                <w:b/>
                <w:bCs/>
              </w:rPr>
              <w:t xml:space="preserve">not</w:t>
            </w:r>
            <w:r>
              <w:t xml:space="preserve"> established, and is the only validation that justifies a bispecific premium. This brief treats the dual-blockade benefit as a hypothesis among several plausible outcomes, not the default.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question the whole thesis turns on. </w:t>
            </w:r>
            <w:r>
              <w:t xml:space="preserve">Everything reduces to one empirical unknown: </w:t>
            </w:r>
            <w:r>
              <w:rPr>
                <w:b/>
                <w:bCs/>
              </w:rPr>
              <w:t xml:space="preserve">what fraction of TL1A non-responders are actually escaping through IL-23-dependent pathways?</w:t>
            </w:r>
            <w:r>
              <w:t xml:space="preserve"> If ~10%, the dual thesis is weak; if ~30-40%, it is attractive; if 60%+, it is transformational. No dataset answers this yet — it is the number a partner's diligence should try hardest to estimate, and the organizing question behind every section that follows.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TL1A/IL-23 assets are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 AND the free combination (ABBV-701 + Skyrizi); target engagement is ~90% yet remission is ~26% — engagement alone does not deliver remission. Open questions: magnitude of any gain, durability, CD vs UC, and what fraction of non-responders are truly IL-23-escape patients.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h2ugoqukavyff9hpy3nfo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f9jbufkrvnrxecgqvjffb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IBD usually begins between 15 and 35; a Crohn's diagnosis is often </w:t>
      </w:r>
      <w:hyperlink w:history="1" r:id="rId_aiarrzeo883_z58nqxr3">
        <w:r>
          <w:rPr>
            <w:rStyle w:val="Hyperlink"/>
          </w:rPr>
          <w:t xml:space="preserve">delayed ~5-9 months and follows roughly 3.5 physician visits</w:t>
        </w:r>
      </w:hyperlink>
      <w:r>
        <w:t xml:space="preserve">, and that delay tracks with strictures and surgery — so the population reaching an advanced therapy is young, working-age, and frequently already complicated. Their lived experience is flares, steroid courses, infusion-center visits or self-injection, and the fear of surgery; “better,” from their side, means steroid-free remission, no colectomy, fewer flares, and a dosing schedule that fits a working life. Real-world data show how high that bar is: </w:t>
      </w:r>
      <w:hyperlink w:history="1" r:id="rIdauqnz-utdojlai9w0xsbd">
        <w:r>
          <w:rPr>
            <w:rStyle w:val="Hyperlink"/>
          </w:rPr>
          <w:t xml:space="preserve">only ~45-48% remain on their first biologic at one year</w:t>
        </w:r>
      </w:hyperlink>
      <w:r>
        <w:t xml:space="preserve"> before loss of response or dosing burden moves them off it. A durable, deep, conveniently-dosed remission is therefore a patient outcome and a commercial moat at once.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_t92yauupext-bz7k7vfw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The bet is on two genetically human-validated targets. </w:t>
      </w:r>
      <w:r>
        <w:rPr>
          <w:b/>
          <w:bCs/>
        </w:rPr>
        <w:t xml:space="preserve">TL1A</w:t>
      </w:r>
      <w:r>
        <w:t xml:space="preserve"> — the </w:t>
      </w:r>
      <w:hyperlink w:history="1" r:id="rIdwk5gbrnvyp41jdbbaeyln">
        <w:r>
          <w:rPr>
            <w:rStyle w:val="Hyperlink"/>
          </w:rPr>
          <w:t xml:space="preserve">TNFSF15 gene product</w:t>
        </w:r>
      </w:hyperlink>
      <w:r>
        <w:t xml:space="preserve"> (TNF superfamily) — costimulates effector T cells via its receptor </w:t>
      </w:r>
      <w:r>
        <w:rPr>
          <w:b/>
          <w:bCs/>
        </w:rPr>
        <w:t xml:space="preserve">DR3</w:t>
      </w:r>
      <w:r>
        <w:t xml:space="preserve"> (TNFRSF25) and is buffered by the decoy DcR3; TNFSF15 is a validated IBD risk locus across multiple ancestries, and TL1A/DR3 is upregulated in inflamed UC and CD mucosa, driving Th1/Th17 inflammation and fibro-stromal remodeling. </w:t>
      </w:r>
      <w:r>
        <w:rPr>
          <w:b/>
          <w:bCs/>
        </w:rPr>
        <w:t xml:space="preserve">IL-23</w:t>
      </w:r>
      <w:r>
        <w:t xml:space="preserve"> — a p19 (IL23A) + p40 heterodimer signalling via IL-23R — sustains pathogenic Th17, and </w:t>
      </w:r>
      <w:r>
        <w:rPr>
          <w:b/>
          <w:bCs/>
        </w:rPr>
        <w:t xml:space="preserve">IL23R</w:t>
      </w:r>
      <w:r>
        <w:t xml:space="preserve"> is itself a landmark IBD gene. Both arms are validated by human genetics and by drugs; what is unproven is their combination, not either target. </w:t>
      </w:r>
      <w:r>
        <w:rPr>
          <w:b/>
          <w:bCs/>
        </w:rPr>
        <w:t xml:space="preserve">On-target ceiling: </w:t>
      </w:r>
      <w:r>
        <w:t xml:space="preserve">DR3 signalling also supports regulatory-T-cell homeostasis, so the theoretical limit on TL1A blockade is immune over-suppression — and the concrete clinical question that gates the bispecific is infection risk under simultaneous TL1A + IL-23 blockade (Section 6).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1lp7m9jk-np9mpxjtjpdb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ciykzlokxlqskiybf5_bd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a meaningful fraction of TL1A non-responders escape through a non-overlapping IL-23-dependent route, dual blockade should lift remission above the monotherapy ceiling — by an unknown magnitude. It is falsifiable: the thesis fails if dual blockade does not beat the best monospecific </w:t>
            </w:r>
            <w:r>
              <w:rPr>
                <w:b/>
                <w:bCs/>
              </w:rPr>
              <w:t xml:space="preserve">and the free combination</w:t>
            </w:r>
            <w:r>
              <w:t xml:space="preserve">. </w:t>
            </w:r>
            <w:r>
              <w:t xml:space="preserve">RO7837195 (p40×TL1A) and MT-251 are the </w:t>
            </w:r>
            <w:hyperlink w:history="1" r:id="rId5xlesspww8l14p0idmnuf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Why this thesis could fail</w:t>
      </w:r>
    </w:p>
    <w:p>
      <w:pPr>
        <w:spacing w:after="120"/>
      </w:pPr>
      <w:r>
        <w:t xml:space="preserve">The anti-thesis — the reasons dual blockade may </w:t>
      </w:r>
      <w:r>
        <w:rPr>
          <w:b/>
          <w:bCs/>
        </w:rPr>
        <w:t xml:space="preserve">not</w:t>
      </w:r>
      <w:r>
        <w:t xml:space="preserve"> outperform optimized monotherapy, even if both targets are validated: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rPr>
          <w:tblHeader/>
        </w:trPr>
        <w:tc>
          <w:tcPr>
            <w:tcW w:type="dxa" w:w="2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6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could happen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 is already upstream of much IL-23 biology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if TL1A blockade indirectly dampens the IL-23 axis, adding an IL-23 arm captures less incremental signal than the non-overlapping-escape model assumes.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Non-responders don't escape via IL-23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engagement-to-remission gap may be driven by routes other than IL-23 (Th1/IFN-γ, OSM, fibro-stromal); if so, an IL-23 arm doesn't rescue them — this is the core empirical risk.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ceiling is in repair, not inflammation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may be limited by epithelial restitution / mucosal healing rather than residual cytokine drive; blocking a second cytokine then doesn't move the bottleneck.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Efficacy-to-risk imbalance (the highest-risk outcome)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 blockade can fail even with clean safety: more immunosuppression without more efficacy is a worse therapeutic index than a monospecific — failure here is poor benefit/risk, not toxicity.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Optimized monotherapy / sequencing wins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better patient selection, dosing and sequencing of approved monotherapies may reach similar outcomes without the molecular complexity, narrowing the bispecific's room.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bispecific doesn't beat the free combination</w:t>
            </w:r>
          </w:p>
        </w:tc>
        <w:tc>
          <w:tcPr>
            <w:tcW w:type="dxa" w:w="6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see below — the real comparator is TL1A + IL-23 co-administration, not monotherapy; if the bispecific only matches the free combo, the format premium evaporates.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real comparator. </w:t>
            </w:r>
            <w:r>
              <w:t xml:space="preserve">A TL1A×IL-23p19 bispecific does not only compete against TL1A monotherapy and IL-23 monotherapy — it competes against </w:t>
            </w:r>
            <w:r>
              <w:rPr>
                <w:b/>
                <w:bCs/>
              </w:rPr>
              <w:t xml:space="preserve">sequential therapy</w:t>
            </w:r>
            <w:r>
              <w:t xml:space="preserve"> and the </w:t>
            </w:r>
            <w:r>
              <w:rPr>
                <w:b/>
                <w:bCs/>
              </w:rPr>
              <w:t xml:space="preserve">free combination</w:t>
            </w:r>
            <w:r>
              <w:t xml:space="preserve"> (e.g., </w:t>
            </w:r>
            <w:r>
              <w:rPr>
                <w:b/>
                <w:bCs/>
              </w:rPr>
              <w:t xml:space="preserve">ABBV-701 + SKYRIZI</w:t>
            </w:r>
            <w:r>
              <w:t xml:space="preserve">, which AbbVie is already pursuing). A bispecific premium exists only if a single molecule </w:t>
            </w:r>
            <w:r>
              <w:rPr>
                <w:b/>
                <w:bCs/>
              </w:rPr>
              <w:t xml:space="preserve">meaningfully exceeds the best available combination strategy</w:t>
            </w:r>
            <w:r>
              <w:t xml:space="preserve"> — on efficacy, safety, dosing, or access (one approval/reimbursement vs two biologics). That, not 'does TL1A + IL-23 work,' is the central commercial question.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060"/>
        <w:gridCol w:w="31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CLD-423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Caldera (Qyuns)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IL-23p19×TL1A bisp,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ypccnlr6kvnldubpkjelj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IL-23p19 standard in UC is the benchmark a bispecific has to clear: </w:t>
            </w:r>
            <w:hyperlink w:history="1" r:id="rIdovf0dcfcfp5uebzmu_a-a">
              <w:r>
                <w:rPr>
                  <w:rStyle w:val="Hyperlink"/>
                </w:rPr>
                <w:t xml:space="preserve">risankizumab Wk12 remission 20.3% vs 6.2%; guselkumab Wk44 maintenance 50% / 45% vs 19% (with roughly two-thirds of remitters also in endoscopic remission); mirikizumab ~50% maintenance</w:t>
              </w:r>
            </w:hyperlink>
            <w:r>
              <w:t xml:space="preserve">. To justify the added format/safety/CMC complexity, a dual-mechanism asset must show induction above ~25-30% and durable maintenance and endoscopic healing materially beyond this — additive efficacy, not parity.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Competitive data becomes a BD decision only once you layer on who controls each asset, whether it can be transacted, and what its existence means for a buyer: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1340"/>
        <w:gridCol w:w="4900"/>
      </w:tblGrid>
      <w:tr>
        <w:trPr>
          <w:tblHeader/>
        </w:trPr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62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4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(acq. Prometheus)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sets the monospecific bar; not for sale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+ Teva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partnered / 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co-owned; defines the Ph3 monospecific benchmark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(acq. Telavant)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in-house; Roche also holds the RO7837195 bispecific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SPY002 / platform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cleanest pure-play IBD-platform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/ Pfizer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clinical data; not available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long-acting bispecific inside one small company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bispecific; Xencor licenses readily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validated monospecifics are all locked inside large pharma; the transactable bispecific optionality sits with a small set of independents — </w:t>
      </w:r>
      <w:r>
        <w:rPr>
          <w:b/>
          <w:bCs/>
        </w:rPr>
        <w:t xml:space="preserve">Spyre, Mirador, Xencor</w:t>
      </w:r>
      <w:r>
        <w:t xml:space="preserve"> — plus the China-origin programs (Section 10). That is where a TL1A×IL-23 position can actually be acquired, and the timing of any move is gated by their catalysts (Section 7).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biomarker question may be bigger than the efficacy question. </w:t>
            </w:r>
            <w:r>
              <w:t xml:space="preserve">The largest commercial opportunity may not be a higher </w:t>
            </w:r>
            <w:r>
              <w:rPr>
                <w:b/>
                <w:bCs/>
              </w:rPr>
              <w:t xml:space="preserve">average</w:t>
            </w:r>
            <w:r>
              <w:t xml:space="preserve"> remission rate, but identifying a </w:t>
            </w:r>
            <w:r>
              <w:rPr>
                <w:b/>
                <w:bCs/>
              </w:rPr>
              <w:t xml:space="preserve">patient segment in which TL1A biology is disproportionately important</w:t>
            </w:r>
            <w:r>
              <w:t xml:space="preserve"> — where a TL1A-containing asset wins decisively rather than marginally. Candidate segments: </w:t>
            </w:r>
            <w:r>
              <w:rPr>
                <w:b/>
                <w:bCs/>
              </w:rPr>
              <w:t xml:space="preserve">TL1A-high</w:t>
            </w:r>
            <w:r>
              <w:t xml:space="preserve"> expressors, </w:t>
            </w:r>
            <w:r>
              <w:rPr>
                <w:b/>
                <w:bCs/>
              </w:rPr>
              <w:t xml:space="preserve">fibrosis-prone / fistulizing CD</w:t>
            </w:r>
            <w:r>
              <w:t xml:space="preserve"> (TL1A's fibro-stromal role), </w:t>
            </w:r>
            <w:r>
              <w:rPr>
                <w:b/>
                <w:bCs/>
              </w:rPr>
              <w:t xml:space="preserve">anti-TNF failures</w:t>
            </w:r>
            <w:r>
              <w:t xml:space="preserve">, and </w:t>
            </w:r>
            <w:r>
              <w:rPr>
                <w:b/>
                <w:bCs/>
              </w:rPr>
              <w:t xml:space="preserve">OSM-high</w:t>
            </w:r>
            <w:r>
              <w:t xml:space="preserve"> non-responders (high mucosal OSM </w:t>
            </w:r>
            <w:hyperlink w:history="1" r:id="rIdx-48lw48lznrjrozunat6">
              <w:r>
                <w:rPr>
                  <w:rStyle w:val="Hyperlink"/>
                </w:rPr>
                <w:t xml:space="preserve">associates with non-response to anti-TNF and single-cytokine blockade</w:t>
              </w:r>
            </w:hyperlink>
            <w:r>
              <w:t xml:space="preserve">). Owning a defined responder segment can be worth more than a few points of average remission — and is the under-developed half of the value case. None of these is yet a validated companion diagnostic; they are the diligence targets for a segmentation strategy.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vq1n6j7vu8b5-cazbrctv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pStyle w:val="Heading2"/>
      </w:pPr>
      <w:r>
        <w:t xml:space="preserve">Rinvoq — the oral that may be the single biggest threat</w:t>
      </w:r>
    </w:p>
    <w:p>
      <w:pPr>
        <w:spacing w:after="120"/>
      </w:pPr>
      <w:r>
        <w:t xml:space="preserve">Among all competitors, </w:t>
      </w:r>
      <w:r>
        <w:rPr>
          <w:b/>
          <w:bCs/>
        </w:rPr>
        <w:t xml:space="preserve">upadacitinib (Rinvoq)</w:t>
      </w:r>
      <w:r>
        <w:t xml:space="preserve"> is plausibly the largest threat to the whole thesis — not another injectable, but a convenient daily oral with high efficacy that is </w:t>
      </w:r>
      <w:hyperlink w:history="1" r:id="rIdqbjjebsa7gle0pattxosq">
        <w:r>
          <w:rPr>
            <w:rStyle w:val="Hyperlink"/>
          </w:rPr>
          <w:t xml:space="preserve">already taking ~50% of new Crohn's and ~33% of new UC starts (TD Cowen)</w:t>
        </w:r>
      </w:hyperlink>
      <w:r>
        <w:t xml:space="preserve">. The decisive question for any quarterly biologic is </w:t>
      </w:r>
      <w:r>
        <w:rPr>
          <w:b/>
          <w:bCs/>
        </w:rPr>
        <w:t xml:space="preserve">how much efficacy advantage it must show to overcome oral preference</w:t>
      </w:r>
      <w:r>
        <w:t xml:space="preserve">. A bispecific cannot win on convenience against a pill; its case must be (1) materially deeper / more durable remission than Rinvoq can safely sustain, given Rinvoq's class black-box (infection/MACE/VTE/malignancy) that caps long-term and broad use, and (2) the refractory / safety-sensitive population where an oral immunosuppressant is a poor fit. If a dual biologic cannot clear that efficacy-and-safety bar, the oral wins the market it competes for.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spacing w:after="120"/>
      </w:pPr>
      <w:r>
        <w:rPr>
          <w:b/>
          <w:bCs/>
        </w:rPr>
        <w:t xml:space="preserve">Beyond IBD. </w:t>
      </w:r>
      <w:r>
        <w:t xml:space="preserve">The mechanism is not IBD-only: Merck has moved tulisokibart into </w:t>
      </w:r>
      <w:hyperlink w:history="1" r:id="rId1zpodhguaqm2yyfviedsn">
        <w:r>
          <w:rPr>
            <w:rStyle w:val="Hyperlink"/>
          </w:rPr>
          <w:t xml:space="preserve">Phase 2b in hidradenitis suppurativa, axial spondyloarthritis and rheumatoid arthritis</w:t>
        </w:r>
      </w:hyperlink>
      <w:r>
        <w:t xml:space="preserve">, and IL-23p19 agents are already approved in psoriasis and psoriatic arthritis. A TL1A×IL-23 asset therefore carries label-expansion optionality that widens its addressable market — and its platform value — beyond the IBD numbers above.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Spyre management has publicly characterized first-generation TL1A bispecifics as showing unfavorable immunogenicity, while XmAb942 (anti-TL1A) reports no anti-drug antibodies to date. Clean immunogenicity is therefore both a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4v3c3wnpy9kavbdepf8yd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a primary focus of a partner's diligence.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higher-probability failure is benefit/risk, not toxicity. </w:t>
      </w:r>
      <w:r>
        <w:t xml:space="preserve">Even with a clean safety profile, dual blockade can fail by adding immunosuppression </w:t>
      </w:r>
      <w:r>
        <w:rPr>
          <w:b/>
          <w:bCs/>
        </w:rPr>
        <w:t xml:space="preserve">without</w:t>
      </w:r>
      <w:r>
        <w:t xml:space="preserve"> adding efficacy — a worse therapeutic index than a monospecific. The diligence question is therefore not only 'is it safe?' but 'does the second arm earn its incremental immunosuppression in remission gained?'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spacing w:after="120"/>
      </w:pPr>
      <w:r>
        <w:rPr>
          <w:b/>
          <w:bCs/>
        </w:rPr>
        <w:t xml:space="preserve">Regulatory read. </w:t>
      </w:r>
      <w:r>
        <w:t xml:space="preserve">The path is well-mapped, not novel: the FDA accepts modified-Mayo clinical remission plus endoscopic improvement in UC (and CDAI / endoscopic endpoints in CD), placebo remission runs ~10-13%, and the class already has approvals across IL-23p19, JAK and S1P. A bispecific's gating risk is therefore comparative efficacy and the dual-blockade safety package — not regulatory uncertainty about the endpoint or the pathway.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Access consolidation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bispecific collapses dual-mechanism control into one approval, one reimbursement, one step-therapy hurdle and one co-pay — removing the formulary friction of getting two separate biologics covered and co-administered. This is a core part of the bispecific value case, alongside efficacy.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 (HXN-1003)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bispecific; broader Sanofi-Earendil collab ~$2.56B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BI-Simcere (SIM0709)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€42M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~€1.06B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 the monotherapy combination preclinically; BI ex-Greater China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The right way to read the outcome space is by </w:t>
      </w:r>
      <w:r>
        <w:rPr>
          <w:b/>
          <w:bCs/>
        </w:rPr>
        <w:t xml:space="preserve">strategic category</w:t>
      </w:r>
      <w:r>
        <w:t xml:space="preserve">, not by a precise number — the dollar bands below are illustrative ranges under enormous uncertainty, secondary to what the readout </w:t>
      </w:r>
      <w:r>
        <w:rPr>
          <w:b/>
          <w:bCs/>
        </w:rPr>
        <w:t xml:space="preserve">means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600"/>
        <w:gridCol w:w="2710"/>
      </w:tblGrid>
      <w:tr>
        <w:trPr>
          <w:tblHeader/>
        </w:trPr>
        <w:tc>
          <w:tcPr>
            <w:tcW w:type="dxa" w:w="3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Outcome (at the first additive-efficacy readout)</w:t>
            </w:r>
          </w:p>
        </w:tc>
        <w:tc>
          <w:tcPr>
            <w:tcW w:type="dxa" w:w="3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Strategic meaning</w:t>
            </w:r>
          </w:p>
        </w:tc>
        <w:tc>
          <w:tcPr>
            <w:tcW w:type="dxa" w:w="2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Illustrative value*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Strong additive efficacy + SC + clean safety</w:t>
            </w:r>
          </w:p>
        </w:tc>
        <w:tc>
          <w:tcPr>
            <w:tcW w:type="dxa" w:w="3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premium platform asset; partnering urgency</w:t>
            </w:r>
          </w:p>
        </w:tc>
        <w:tc>
          <w:tcPr>
            <w:tcW w:type="dxa" w:w="2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Modest additive efficacy</w:t>
            </w:r>
          </w:p>
        </w:tc>
        <w:tc>
          <w:tcPr>
            <w:tcW w:type="dxa" w:w="3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competitive entrant, discounted vs the best monospecific</w:t>
            </w:r>
          </w:p>
        </w:tc>
        <w:tc>
          <w:tcPr>
            <w:tcW w:type="dxa" w:w="2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 but safety / CMC signal</w:t>
            </w:r>
          </w:p>
        </w:tc>
        <w:tc>
          <w:tcPr>
            <w:tcW w:type="dxa" w:w="3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supply- or safety-risk-capped</w:t>
            </w:r>
          </w:p>
        </w:tc>
        <w:tc>
          <w:tcPr>
            <w:tcW w:type="dxa" w:w="2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3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monospecific-adjacent; no clear buyer</w:t>
            </w:r>
          </w:p>
        </w:tc>
        <w:tc>
          <w:tcPr>
            <w:tcW w:type="dxa" w:w="2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&lt; $1B</w:t>
            </w:r>
          </w:p>
        </w:tc>
      </w:tr>
    </w:tbl>
    <w:p>
      <w:pPr>
        <w:spacing w:after="120"/>
      </w:pPr>
      <w:r>
        <w:rPr>
          <w:color w:val="64748B"/>
          <w:sz w:val="15"/>
          <w:szCs w:val="15"/>
        </w:rPr>
        <w:t xml:space="preserve">*Illustrative wide-uncertainty bands anchored to the deal comps above — scenario categories, not forecasts. The strategic meaning, not the number, is the point.</w:t>
      </w:r>
    </w:p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China-originated, and a </w:t>
      </w:r>
      <w:hyperlink w:history="1" r:id="rIdy7p5bxmtfr2gaq-qudo1n">
        <w:r>
          <w:rPr>
            <w:rStyle w:val="Hyperlink"/>
          </w:rPr>
          <w:t xml:space="preserve">string of 2025-26 deals has moved it from conceptual to deal-validated preclinical scarcity</w:t>
        </w:r>
      </w:hyperlink>
      <w:r>
        <w:t xml:space="preserve">: Simcere (SIM0709 → Boehringer Ingelheim, up to €1.058B, with BI citing preclinical superiority over the monotherapy combination), Qyuns (CLD-423, in-licensed by US NewCo Caldera and now in Phase 1), Earendil (HXN-1003 → Sanofi, up to ~$1.8B), LaNova (LQ080 → Zymeworks ex-China), plus NovaMab, Elpiscience and Biocad. The recurring pattern is a Western pharma — or a US NewCo — licensing-in a China-originated bispecific; Western-quality data and clean IP convert the molecule into a premium transaction. The BD window is open now and likely tightens once the first human efficacy signals (RO7837195, CLD-423, MT-251) read out.</w:t>
      </w:r>
    </w:p>
    <w:p>
      <w:pPr>
        <w:pStyle w:val="Heading1"/>
      </w:pPr>
      <w:r>
        <w:t xml:space="preserve">11 · Scenarios</w:t>
      </w:r>
    </w:p>
    <w:p>
      <w:pPr>
        <w:spacing w:after="120"/>
      </w:pPr>
      <w:r>
        <w:rPr>
          <w:i/>
          <w:iCs/>
        </w:rPr>
        <w:t xml:space="preserve">Probabilities are directional decompositions, not precise estimates — read the confidence band, not the decimal.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0"/>
        <w:gridCol w:w="1250"/>
        <w:gridCol w:w="1180"/>
        <w:gridCol w:w="2980"/>
      </w:tblGrid>
      <w:tr>
        <w:trPr>
          <w:tblHeader/>
        </w:trPr>
        <w:tc>
          <w:tcPr>
            <w:tcW w:type="dxa" w:w="3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Rough prob.</w:t>
            </w:r>
          </w:p>
        </w:tc>
        <w:tc>
          <w:tcPr>
            <w:tcW w:type="dxa" w:w="11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9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3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11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</w:t>
            </w:r>
          </w:p>
        </w:tc>
        <w:tc>
          <w:tcPr>
            <w:tcW w:type="dxa" w:w="29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3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1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</w:t>
            </w:r>
          </w:p>
        </w:tc>
        <w:tc>
          <w:tcPr>
            <w:tcW w:type="dxa" w:w="29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3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11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Low</w:t>
            </w:r>
          </w:p>
        </w:tc>
        <w:tc>
          <w:tcPr>
            <w:tcW w:type="dxa" w:w="29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3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11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</w:t>
            </w:r>
          </w:p>
        </w:tc>
        <w:tc>
          <w:tcPr>
            <w:tcW w:type="dxa" w:w="29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Preclinical superiority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beats each monotherapy AND the free combination of the two in colitis models (the bar SIM0709 set); simultaneous dual TL1A + IL-23 binding demonstrated on one molecule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Fibrosis-relevant data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fibroblast-activation / collagen / histology (or an imaging proxy) supporting the CD stricture-differentiation claim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p>
      <w:pPr>
        <w:spacing w:after="120"/>
      </w:pPr>
      <w:r>
        <w:rPr>
          <w:i/>
          <w:iCs/>
        </w:rPr>
        <w:t xml:space="preserve">Confidence is a 1-5 calibration of how firmly the evidence supports the call (5 = strong data + precedent; 2 = mechanistic hypothesis). Live decompositions are on the Predictions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1100"/>
        <w:gridCol w:w="1450"/>
        <w:gridCol w:w="1550"/>
        <w:gridCol w:w="2010"/>
      </w:tblGrid>
      <w:tr>
        <w:trPr>
          <w:tblHeader/>
        </w:trPr>
        <w:tc>
          <w:tcPr>
            <w:tcW w:type="dxa" w:w="3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  <w:tc>
          <w:tcPr>
            <w:tcW w:type="dxa" w:w="2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 · basis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  <w:tc>
          <w:tcPr>
            <w:tcW w:type="dxa" w:w="2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4/5 · strong Ph2 (26 vs 1%) + precedent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  <w:tc>
          <w:tcPr>
            <w:tcW w:type="dxa" w:w="2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3/5 · programs entering clinic; additivity unproven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 ≥$1.5B total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(~70%)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  <w:tc>
          <w:tcPr>
            <w:tcW w:type="dxa" w:w="2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4/5 · deal comps (Roche/Telavant, BI/Simcere)</w:t>
            </w:r>
          </w:p>
        </w:tc>
      </w:tr>
      <w:tr>
        <w:trPr>
          <w:tblHeader w:val="false"/>
        </w:trPr>
        <w:tc>
          <w:tcPr>
            <w:tcW w:type="dxa" w:w="3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  <w:tc>
          <w:tcPr>
            <w:tcW w:type="dxa" w:w="2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3/5 · active China-origin deal pattern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test of an intelligence brief is not only what it claims, but what would falsify each claim. 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bispecific readout with no additive efficacy over the best monospecific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dual-mechanism thesis fails; bispecific value reverts to &lt; $1B (Section 11)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infection or immunogenicity signal under dual blockade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discount; the deal range compresses toward $3-6B (Section 9)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ATLAS-UC and the early bispecific reads both positive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premium and partnering urgency rise (Scenario A)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oral (JAK / TYK2) reaching durable deep remission at the bispecific's bar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injectable's differentiation narrows; convenience advantage shifts to orals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source. Where a claim is a hypothesis rather than an established fact — the OSM selection-marker direction, the 30-40% dual-blockade ceiling, the additive-efficacy premise itself — it is labelled as such, not asserted. That is the standard this brief holds itself to: a claim you can answer, source, rate for confidence, and say what would change.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sywzk3k7zkex4lus82dn" Type="http://schemas.openxmlformats.org/officeDocument/2006/relationships/hyperlink" Target="https://www.fiercebiotech.com/biotech/sanofi-pens-18b-deal-2-bispecific-antibodies-aimed-autoimmune-immunology" TargetMode="External"/><Relationship Id="rIdh2ugoqukavyff9hpy3nfo" Type="http://schemas.openxmlformats.org/officeDocument/2006/relationships/hyperlink" Target="https://gi.org/journals-publications/ebgi/kochar_dec2024/" TargetMode="External"/><Relationship Id="rIdf9jbufkrvnrxecgqvjffb" Type="http://schemas.openxmlformats.org/officeDocument/2006/relationships/hyperlink" Target="https://www.crohnscolitisfoundation.org/what-is-ibd/facts-stats" TargetMode="External"/><Relationship Id="rId_aiarrzeo883_z58nqxr3" Type="http://schemas.openxmlformats.org/officeDocument/2006/relationships/hyperlink" Target="https://pubmed.ncbi.nlm.nih.gov/39551466/" TargetMode="External"/><Relationship Id="rIdauqnz-utdojlai9w0xsbd" Type="http://schemas.openxmlformats.org/officeDocument/2006/relationships/hyperlink" Target="https://academic.oup.com/crohnscolitis360/article/5/4/otad051/7276322" TargetMode="External"/><Relationship Id="rId_t92yauupext-bz7k7vfw" Type="http://schemas.openxmlformats.org/officeDocument/2006/relationships/hyperlink" Target="https://www.crohnscolitisfoundation.org/what-is-ibd/facts-stats" TargetMode="External"/><Relationship Id="rIdwk5gbrnvyp41jdbbaeyln" Type="http://schemas.openxmlformats.org/officeDocument/2006/relationships/hyperlink" Target="https://www.frontiersin.org/articles/10.3389/fimmu.2019.00583/full" TargetMode="External"/><Relationship Id="rId1lp7m9jk-np9mpxjtjpdb" Type="http://schemas.openxmlformats.org/officeDocument/2006/relationships/hyperlink" Target="https://www.nejm.org/doi/abs/10.1056/NEJMoa2314076" TargetMode="External"/><Relationship Id="rIdciykzlokxlqskiybf5_bd" Type="http://schemas.openxmlformats.org/officeDocument/2006/relationships/hyperlink" Target="https://www.nejm.org/doi/full/10.1056/NEJMoa2207940" TargetMode="External"/><Relationship Id="rId5xlesspww8l14p0idmnuf" Type="http://schemas.openxmlformats.org/officeDocument/2006/relationships/hyperlink" Target="https://clinicaltrials.gov/study/NCT06979336" TargetMode="External"/><Relationship Id="rIdypccnlr6kvnldubpkjelj" Type="http://schemas.openxmlformats.org/officeDocument/2006/relationships/hyperlink" Target="https://www.thelancet.com/journals/langas/article/PIIS2468-1253(25)00129-3/abstract" TargetMode="External"/><Relationship Id="rIdovf0dcfcfp5uebzmu_a-a" Type="http://schemas.openxmlformats.org/officeDocument/2006/relationships/hyperlink" Target="https://pubmed.ncbi.nlm.nih.gov/38445187/" TargetMode="External"/><Relationship Id="rIdx-48lw48lznrjrozunat6" Type="http://schemas.openxmlformats.org/officeDocument/2006/relationships/hyperlink" Target="https://pubmed.ncbi.nlm.nih.gov/?term=oncostatin+M+inflammatory+bowel+disease+response" TargetMode="External"/><Relationship Id="rIdvq1n6j7vu8b5-cazbrctv" Type="http://schemas.openxmlformats.org/officeDocument/2006/relationships/hyperlink" Target="https://www.frontiersin.org/journals/gastroenterology/articles/10.3389/fgstr.2026.1747118/full" TargetMode="External"/><Relationship Id="rIdqbjjebsa7gle0pattxosq" Type="http://schemas.openxmlformats.org/officeDocument/2006/relationships/hyperlink" Target="https://pmc.ncbi.nlm.nih.gov/articles/PMC11839791/" TargetMode="External"/><Relationship Id="rId1zpodhguaqm2yyfviedsn" Type="http://schemas.openxmlformats.org/officeDocument/2006/relationships/hyperlink" Target="https://www.merck.com/news/merck-expands-tulisokibart-clinical-development-program-with-initiation-of-phase-2b-trials-in-three-additional-immune-mediated-inflammatory-diseases/" TargetMode="External"/><Relationship Id="rId4v3c3wnpy9kavbdepf8yd" Type="http://schemas.openxmlformats.org/officeDocument/2006/relationships/hyperlink" Target="https://academic.oup.com/ecco-jcc/article/19/Supplement_1/i1158/7967681" TargetMode="External"/><Relationship Id="rIdy7p5bxmtfr2gaq-qudo1n" Type="http://schemas.openxmlformats.org/officeDocument/2006/relationships/hyperlink" Target="https://www.fiercebiotech.com/biotech/boehringer-pens-eu105b-deal-simceres-preclinical-ibd-bispecific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2026-06-10T00:49:32.047Z</dcterms:created>
  <dcterms:modified xsi:type="dcterms:W3CDTF">2026-06-10T00:49:32.052Z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