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IBD</w:t>
      </w:r>
    </w:p>
    <w:p>
      <w:pPr>
        <w:spacing w:after="60" w:before="70"/>
      </w:pPr>
      <w:r>
        <w:rPr>
          <w:i/>
          <w:iCs/>
        </w:rPr>
        <w:t xml:space="preserve">Where value is created across the TL1A / IL-23 landscape in ulcerative colitis and Crohn's disease — from patient need and the competing armamentarium through the biology and economics to the deal. Footnotes and linked terms open the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tv81gkl2gboxaenqhqota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any TL1A/IL-23 asset is judged, stated as specifics rather than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3xlb8aohh8admet-2jpdn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oedayrg9jn6mm4oifyki4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mey2mqy7lfaxbmu1xyskp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lj8pzwlopr6-8okfcebe6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ipqg2c31xwcmtt0dhpaby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l0u3c6rlag0dzn-nqznfj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Owner first; originator in parentheses. Bold rows are TL1A×IL-23 bispecifics. 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7wnuos6libzzcrtyi7uxm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ggxyfftx_m3jgzthxquxf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A competitor (Spyre, at a Wedbush-hosted EULAR 2026 event) has publicly characterized first-generation TL1A bispecifics as showing unfavorable immunogenicity, while XmAb942 (anti-TL1A) reports no anti-drug antibodies to date. Clean immunogenicity is therefore both the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rjdhnx808c_hulnvpfpg9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the first endpoint a partner's diligence examines.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Payers, not prescribers,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 — LaNova (LQ080, out-licensed ex-China to Zymeworks), Simcere (SIM0709, to Boehringer Ingelheim), plus NovaMab, Elpiscience, Biocad and Qyuns. The recurring deal pattern is a Western pharma licensing-in a China-originated bispecific. Competitive sets and likely acquirers are global; Western-quality data packages and clear IP convert a China-originated molecule into a premium transaction.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by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v81gkl2gboxaenqhqota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3xlb8aohh8admet-2jpdn" Type="http://schemas.openxmlformats.org/officeDocument/2006/relationships/hyperlink" Target="https://gi.org/journals-publications/ebgi/kochar_dec2024/" TargetMode="External"/><Relationship Id="rIdoedayrg9jn6mm4oifyki4" Type="http://schemas.openxmlformats.org/officeDocument/2006/relationships/hyperlink" Target="https://www.crohnscolitisfoundation.org/what-is-ibd/facts-stats" TargetMode="External"/><Relationship Id="rIdmey2mqy7lfaxbmu1xyskp" Type="http://schemas.openxmlformats.org/officeDocument/2006/relationships/hyperlink" Target="https://www.crohnscolitisfoundation.org/what-is-ibd/facts-stats" TargetMode="External"/><Relationship Id="rIdlj8pzwlopr6-8okfcebe6" Type="http://schemas.openxmlformats.org/officeDocument/2006/relationships/hyperlink" Target="https://www.nejm.org/doi/abs/10.1056/NEJMoa2314076" TargetMode="External"/><Relationship Id="rIdipqg2c31xwcmtt0dhpaby" Type="http://schemas.openxmlformats.org/officeDocument/2006/relationships/hyperlink" Target="https://www.nejm.org/doi/full/10.1056/NEJMoa2207940" TargetMode="External"/><Relationship Id="rIdl0u3c6rlag0dzn-nqznfj" Type="http://schemas.openxmlformats.org/officeDocument/2006/relationships/hyperlink" Target="https://clinicaltrials.gov/study/NCT06979336" TargetMode="External"/><Relationship Id="rId7wnuos6libzzcrtyi7uxm" Type="http://schemas.openxmlformats.org/officeDocument/2006/relationships/hyperlink" Target="https://www.thelancet.com/journals/langas/article/PIIS2468-1253(25)00129-3/abstract" TargetMode="External"/><Relationship Id="rIdggxyfftx_m3jgzthxquxf" Type="http://schemas.openxmlformats.org/officeDocument/2006/relationships/hyperlink" Target="https://www.frontiersin.org/journals/gastroenterology/articles/10.3389/fgstr.2026.1747118/full" TargetMode="External"/><Relationship Id="rIdrjdhnx808c_hulnvpfpg9" Type="http://schemas.openxmlformats.org/officeDocument/2006/relationships/hyperlink" Target="https://academic.oup.com/ecco-jcc/article/19/Supplement_1/i1158/796768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2026-06-08T21:45:47.603Z</dcterms:created>
  <dcterms:modified xsi:type="dcterms:W3CDTF">2026-06-08T21:45:47.604Z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