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7"/>
          <w:szCs w:val="17"/>
        </w:rPr>
        <w:t xml:space="preserve">  ◆ THE MERIDIAN  ·  AREA INTELLIGENCE BRIEF</w:t>
      </w:r>
    </w:p>
    <w:p>
      <w:pPr>
        <w:shd w:fill="1A3F8F" w:val="clear"/>
        <w:spacing w:after="30" w:before="30"/>
      </w:pPr>
      <w:r>
        <w:rPr>
          <w:b/>
          <w:bCs/>
          <w:color w:val="FFFFFF"/>
          <w:sz w:val="30"/>
          <w:szCs w:val="30"/>
        </w:rPr>
        <w:t xml:space="preserve">  TL1A × IL-23p19 in Ulcerative Colitis &amp; IBD</w:t>
      </w:r>
    </w:p>
    <w:p>
      <w:pPr>
        <w:shd w:fill="1A3F8F" w:val="clear"/>
        <w:spacing w:after="50"/>
      </w:pPr>
      <w:r>
        <w:rPr>
          <w:color w:val="D7E3F5"/>
          <w:sz w:val="14"/>
          <w:szCs w:val="14"/>
        </w:rPr>
        <w:t xml:space="preserve">  ALX001 (TL1A × IL-23p19 bispecific)  ·  Ailux Board / CEO / CSO / R&amp;D  ·  June 7, 2026  ·  Refined edition</w:t>
      </w:r>
    </w:p>
    <w:p>
      <w:pPr>
        <w:spacing w:after="60" w:before="60"/>
      </w:pPr>
      <w:r>
        <w:rPr>
          <w:sz w:val="15"/>
          <w:szCs w:val="15"/>
        </w:rPr>
        <w:t xml:space="preserve">Claims tagged </w:t>
      </w:r>
      <w:r>
        <w:rPr>
          <w:b/>
          <w:bCs/>
          <w:color w:val="15803D"/>
          <w:sz w:val="15"/>
          <w:szCs w:val="15"/>
        </w:rPr>
        <w:t xml:space="preserve">[F]</w:t>
      </w:r>
      <w:r>
        <w:rPr>
          <w:color w:val="64748B"/>
          <w:sz w:val="15"/>
          <w:szCs w:val="15"/>
        </w:rPr>
        <w:t xml:space="preserve">act </w:t>
      </w:r>
      <w:r>
        <w:rPr>
          <w:b/>
          <w:bCs/>
          <w:color w:val="1A3F8F"/>
          <w:sz w:val="15"/>
          <w:szCs w:val="15"/>
        </w:rPr>
        <w:t xml:space="preserve">[I]</w:t>
      </w:r>
      <w:r>
        <w:rPr>
          <w:color w:val="64748B"/>
          <w:sz w:val="15"/>
          <w:szCs w:val="15"/>
        </w:rPr>
        <w:t xml:space="preserve">nference </w:t>
      </w:r>
      <w:r>
        <w:rPr>
          <w:b/>
          <w:bCs/>
          <w:color w:val="B45309"/>
          <w:sz w:val="15"/>
          <w:szCs w:val="15"/>
        </w:rPr>
        <w:t xml:space="preserve">[J]</w:t>
      </w:r>
      <w:r>
        <w:rPr>
          <w:color w:val="64748B"/>
          <w:sz w:val="15"/>
          <w:szCs w:val="15"/>
        </w:rPr>
        <w:t xml:space="preserve">udgment </w:t>
      </w:r>
      <w:r>
        <w:rPr>
          <w:b/>
          <w:bCs/>
          <w:color w:val="B91C1C"/>
          <w:sz w:val="15"/>
          <w:szCs w:val="15"/>
        </w:rPr>
        <w:t xml:space="preserve">[P]</w:t>
      </w:r>
      <w:r>
        <w:rPr>
          <w:color w:val="64748B"/>
          <w:sz w:val="15"/>
          <w:szCs w:val="15"/>
        </w:rPr>
        <w:t xml:space="preserve">rediction. Every figure footnoted to 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1.68M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$15B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market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fail biologics/5y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5"/>
                <w:szCs w:val="25"/>
              </w:rPr>
              <w:t xml:space="preserve">30-40%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dual-blockade target</w:t>
            </w:r>
          </w:p>
        </w:tc>
      </w:tr>
    </w:tbl>
    <w:p>
      <w:pPr>
        <w:pStyle w:val="Heading1"/>
      </w:pPr>
      <w:r>
        <w:t xml:space="preserve">The decision</w:t>
      </w:r>
    </w:p>
    <w:p>
      <w:pPr>
        <w:spacing w:after="110"/>
      </w:pPr>
      <w:r>
        <w:rPr>
          <w:b/>
          <w:bCs/>
        </w:rPr>
        <w:t xml:space="preserve">Recommendation [J]. </w:t>
      </w:r>
      <w:r>
        <w:t xml:space="preserve">Don't contest the monospecific lane (a four-way Phase 3 race with a front-runner). Make ALX001 the </w:t>
      </w:r>
      <w:r>
        <w:rPr>
          <w:b/>
          <w:bCs/>
        </w:rPr>
        <w:t xml:space="preserve">first TL1A × IL-23p19 bispecific to produce a deal-compelling validation event</w:t>
      </w:r>
      <w:r>
        <w:t xml:space="preserve">. Three moves: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Protect clinical-entry speed</w:t>
      </w:r>
      <w:r>
        <w:t xml:space="preserve"> — the p19-bispecific clinic is nearly empty (MT-251 Ph1; rest preclinical). The window is the asset.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Engineer to the frontier</w:t>
      </w:r>
      <w:r>
        <w:t xml:space="preserve"> — long-acting SC (~Q12W, XmAb942-class half-life), not the front-runner's IV.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Sequence BD</w:t>
      </w:r>
      <w:r>
        <w:t xml:space="preserve"> around ABBV-701 Ph1 (~Oct'26) and ATLAS-UC topline (~Q4'26); target Takeda; partner before the post-Ph3 reset.</w:t>
      </w:r>
    </w:p>
    <w:p>
      <w:pPr>
        <w:pStyle w:val="Heading2"/>
      </w:pPr>
      <w:r>
        <w:t xml:space="preserve">Why does ALX001 deserve to exist? (the board's first question)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5300"/>
        <w:gridCol w:w="22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5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Claim</w:t>
            </w:r>
          </w:p>
        </w:tc>
        <w:tc>
          <w:tcPr>
            <w:tcW w:type="dxa" w:w="2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Format</w:t>
            </w:r>
          </w:p>
        </w:tc>
        <w:tc>
          <w:tcPr>
            <w:tcW w:type="dxa" w:w="5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p19-selective single molecule, long-acting SC</w:t>
            </w:r>
          </w:p>
        </w:tc>
        <w:tc>
          <w:tcPr>
            <w:tcW w:type="dxa" w:w="2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Edge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Biomarker</w:t>
            </w:r>
          </w:p>
        </w:tc>
        <w:tc>
          <w:tcPr>
            <w:tcW w:type="dxa" w:w="5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already tracks OSM — can own the anti-TL1A escape population</w:t>
            </w:r>
          </w:p>
        </w:tc>
        <w:tc>
          <w:tcPr>
            <w:tcW w:type="dxa" w:w="2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Differentiated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Geography</w:t>
            </w:r>
          </w:p>
        </w:tc>
        <w:tc>
          <w:tcPr>
            <w:tcW w:type="dxa" w:w="5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Shanghai-based: cost/speed/capital inside the bispecific hub</w:t>
            </w:r>
          </w:p>
        </w:tc>
        <w:tc>
          <w:tcPr>
            <w:tcW w:type="dxa" w:w="2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Edge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Speed</w:t>
            </w:r>
          </w:p>
        </w:tc>
        <w:tc>
          <w:tcPr>
            <w:tcW w:type="dxa" w:w="5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first-mover window open — but closing</w:t>
            </w:r>
          </w:p>
        </w:tc>
        <w:tc>
          <w:tcPr>
            <w:tcW w:type="dxa" w:w="2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Time-limited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Stage / proof</w:t>
            </w:r>
          </w:p>
        </w:tc>
        <w:tc>
          <w:tcPr>
            <w:tcW w:type="dxa" w:w="5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preclinical, behind MT-251; additive efficacy unproven</w:t>
            </w:r>
          </w:p>
        </w:tc>
        <w:tc>
          <w:tcPr>
            <w:tcW w:type="dxa" w:w="2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Weakness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Verdict [J]: </w:t>
            </w:r>
            <w:r>
              <w:t xml:space="preserve">ALX001 earns its place only as a play of </w:t>
            </w:r>
            <w:r>
              <w:rPr>
                <w:b/>
                <w:bCs/>
              </w:rPr>
              <w:t xml:space="preserve">differentiated speed</w:t>
            </w:r>
            <w:r>
              <w:t xml:space="preserve"> — converting its format, biomarker and geography edges into the clinic before the additive-efficacy question is answered by others. As a late me-too p19 bispecific it does not; the rational fallback is to in-license or partner.</w:t>
            </w:r>
          </w:p>
        </w:tc>
      </w:tr>
    </w:tbl>
    <w:p>
      <w:pPr>
        <w:pStyle w:val="Heading1"/>
      </w:pPr>
      <w:r>
        <w:t xml:space="preserve">1 · The patient gap (where value comes from)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250"/>
        <w:gridCol w:w="1250"/>
        <w:gridCol w:w="1500"/>
        <w:gridCol w:w="3110"/>
      </w:tblGrid>
      <w:tr>
        <w:trPr>
          <w:tblHeader/>
        </w:trPr>
        <w:tc>
          <w:tcPr>
            <w:tcW w:type="dxa" w:w="2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Indication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 pts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SoC remission</w:t>
            </w:r>
          </w:p>
        </w:tc>
        <w:tc>
          <w:tcPr>
            <w:tcW w:type="dxa" w:w="3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gap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UC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900K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15-20% endoscopic; 150-200K face colectomy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Crohn's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780K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fistulizing CD (~30%) untreated; transmural healing &lt;10%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IBD total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1.68M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$15B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~22%</w:t>
            </w:r>
          </w:p>
        </w:tc>
        <w:tc>
          <w:tcPr>
            <w:tcW w:type="dxa" w:w="3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40-50% fail in 5 yrs; deep remission 15-20%</w:t>
            </w:r>
          </w:p>
        </w:tc>
      </w:tr>
    </w:tbl>
    <w:p>
      <w:pPr>
        <w:spacing w:after="110"/>
      </w:pPr>
      <w:r>
        <w:rPr>
          <w:b/>
          <w:bCs/>
          <w:color w:val="15803D"/>
        </w:rPr>
        <w:t xml:space="preserve">[F] </w:t>
      </w:r>
      <w:r>
        <w:t xml:space="preserve">The field has hit a </w:t>
      </w:r>
      <w:r>
        <w:rPr>
          <w:b/>
          <w:bCs/>
        </w:rPr>
        <w:t xml:space="preserve">remission ceiling</w:t>
      </w:r>
      <w:r>
        <w:t xml:space="preserve">: best agents reach only 15-20% deep remission, half of patients fail within five years, and the unmet need is depth and durability — not more options. </w:t>
      </w:r>
      <w:r>
        <w:rPr>
          <w:b/>
          <w:bCs/>
          <w:color w:val="1A3F8F"/>
        </w:rPr>
        <w:t xml:space="preserve">[I] </w:t>
      </w:r>
      <w:r>
        <w:t xml:space="preserve">Meridian's benchmark sets the prize at a 15-20% → 30-40% deep-remission jump.</w:t>
      </w:r>
      <w:r>
        <w:rPr>
          <w:rStyle w:val="FootnoteReference"/>
        </w:rPr>
        <w:footnoteReference w:id="1"/>
      </w:r>
    </w:p>
    <w:p>
      <w:pPr>
        <w:pStyle w:val="Heading1"/>
      </w:pPr>
      <w:r>
        <w:t xml:space="preserve">2 · The scientific thesis (the case in four steps)</w:t>
      </w:r>
    </w:p>
    <w:p>
      <w:pPr>
        <w:spacing w:after="110"/>
      </w:pPr>
      <w:r>
        <w:rPr>
          <w:b/>
          <w:bCs/>
        </w:rPr>
        <w:t xml:space="preserve">1) Engagement ≠ efficacy [F]. </w:t>
      </w:r>
      <w:r>
        <w:t xml:space="preserve">Anti-TL1A suppresses soluble TL1A ~90% yet delivers only ~26-28% remission. The drug does its molecular job; the disease continues.</w:t>
      </w:r>
      <w:r>
        <w:rPr>
          <w:rStyle w:val="FootnoteReference"/>
        </w:rPr>
        <w:footnoteReference w:id="2"/>
      </w:r>
    </w:p>
    <w:p>
      <w:pPr>
        <w:spacing w:after="110"/>
      </w:pPr>
      <w:r>
        <w:rPr>
          <w:b/>
          <w:bCs/>
        </w:rPr>
        <w:t xml:space="preserve">2) Why [I]. </w:t>
      </w:r>
      <w:r>
        <w:t xml:space="preserve">The gap is IL-23-independent Th17 activation and epithelial-restitution failure TL1A doesn't touch. The anti-TL1A (~72%) and anti-IL-23 (~55%) non-responder escape maps </w:t>
      </w:r>
      <w:r>
        <w:rPr>
          <w:b/>
          <w:bCs/>
        </w:rPr>
        <w:t xml:space="preserve">barely overlap</w:t>
      </w:r>
      <w:r>
        <w:t xml:space="preserve"> — the mechanistic definition of a combination.</w:t>
      </w:r>
      <w:r>
        <w:rPr>
          <w:rStyle w:val="FootnoteReference"/>
        </w:rPr>
        <w:footnoteReference w:id="2"/>
      </w:r>
    </w:p>
    <w:p>
      <w:pPr>
        <w:spacing w:after="110"/>
      </w:pPr>
      <w:r>
        <w:rPr>
          <w:b/>
          <w:bCs/>
        </w:rPr>
        <w:t xml:space="preserve">3) Why p19 [I]. </w:t>
      </w:r>
      <w:r>
        <w:t xml:space="preserve">IL-23p19 closes the Th17 escape while preserving IL-12/Th1 immunity and inheriting the risankizumab class precedent (p40 adds redundancy + safety baggage).</w:t>
      </w:r>
      <w:r>
        <w:rPr>
          <w:rStyle w:val="FootnoteReference"/>
        </w:rPr>
        <w:footnoteReference w:id="3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4) The testable conclusion [P]. </w:t>
            </w:r>
            <w:r>
              <w:t xml:space="preserve">Closing both non-overlapping pathways should convert engagement into remission — the 30-40% deep-remission hypothesis. </w:t>
            </w:r>
            <w:r>
              <w:rPr>
                <w:b/>
                <w:bCs/>
              </w:rPr>
              <w:t xml:space="preserve">Falsifiable:</w:t>
            </w:r>
            <w:r>
              <w:t xml:space="preserve"> if dual blockade (RO7837195, MT-251 first) doesn't beat the best monospecific, the thesis fails. The single most important experiment in this area — not yet reported.</w:t>
            </w:r>
          </w:p>
        </w:tc>
      </w:tr>
    </w:tbl>
    <w:p>
      <w:pPr>
        <w:pStyle w:val="Heading1"/>
      </w:pPr>
      <w:r>
        <w:t xml:space="preserve">3 · Competition, data &amp; the corrected landscape</w:t>
      </w:r>
    </w:p>
    <w:p>
      <w:pPr>
        <w:spacing w:after="110"/>
      </w:pPr>
      <w:r>
        <w:rPr>
          <w:b/>
          <w:bCs/>
        </w:rPr>
        <w:t xml:space="preserve">[F] Stages reflect the 2026-06-07 accuracy audit</w:t>
      </w:r>
      <w:r>
        <w:t xml:space="preserve"> (DB bispecific stages were inflated; corrected). The p19-bispecific clinic is genuinely thin; the scarcity is </w:t>
      </w:r>
      <w:r>
        <w:rPr>
          <w:b/>
          <w:bCs/>
        </w:rPr>
        <w:t xml:space="preserve">validated assets, not assets.</w:t>
      </w:r>
      <w:r>
        <w:rPr>
          <w:rStyle w:val="FootnoteReference"/>
        </w:rPr>
        <w:footnoteReference w:id="6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1050"/>
        <w:gridCol w:w="1500"/>
        <w:gridCol w:w="2560"/>
        <w:gridCol w:w="11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Originator</w:t>
            </w:r>
          </w:p>
        </w:tc>
        <w:tc>
          <w:tcPr>
            <w:tcW w:type="dxa" w:w="1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Prometheus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(+CDx)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4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Teva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4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Roche/Telavant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4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FutureGen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Pfizer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bispecific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 (LA)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ALX001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Ailux</w:t>
            </w:r>
          </w:p>
        </w:tc>
        <w:tc>
          <w:tcPr>
            <w:tcW w:type="dxa" w:w="1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Ailux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bispecific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</w:tbl>
    <w:p>
      <w:pPr>
        <w:pStyle w:val="Heading2"/>
      </w:pPr>
      <w:r>
        <w:t xml:space="preserve">Efficacy &amp; PK (not head-to-head)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50"/>
        <w:gridCol w:w="1400"/>
        <w:gridCol w:w="331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remission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Placebo-adj.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33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+24pp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~14d IV</w:t>
            </w:r>
          </w:p>
        </w:tc>
        <w:tc>
          <w:tcPr>
            <w:tcW w:type="dxa" w:w="3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leader; ECCO'25 oral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28%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+20pp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~27d IV</w:t>
            </w:r>
          </w:p>
        </w:tc>
        <w:tc>
          <w:tcPr>
            <w:tcW w:type="dxa" w:w="3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stage leader; IV burden; CDx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~74d SC</w:t>
            </w:r>
          </w:p>
        </w:tc>
        <w:tc>
          <w:tcPr>
            <w:tcW w:type="dxa" w:w="3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format/half-life benchmark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~20d SC</w:t>
            </w:r>
          </w:p>
        </w:tc>
        <w:tc>
          <w:tcPr>
            <w:tcW w:type="dxa" w:w="3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clinical data</w:t>
            </w:r>
          </w:p>
        </w:tc>
      </w:tr>
    </w:tbl>
    <w:p>
      <w:pPr>
        <w:spacing w:after="110"/>
      </w:pPr>
      <w:r>
        <w:rPr>
          <w:b/>
          <w:bCs/>
        </w:rPr>
        <w:t xml:space="preserve">Read correctly [I]: </w:t>
      </w:r>
      <w:r>
        <w:t xml:space="preserve">the headline 9-pt efficacy gap is ~4pp once placebo-adjusted; trials differ in endpoint/population. duvakitug leads on efficacy, tulisokibart on stage, and the frontier is moving to </w:t>
      </w:r>
      <w:r>
        <w:rPr>
          <w:b/>
          <w:bCs/>
        </w:rPr>
        <w:t xml:space="preserve">long-acting SC</w:t>
      </w:r>
      <w:r>
        <w:t xml:space="preserve"> — ALX001 must clear both bars.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5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Sharpest insight [I]. </w:t>
            </w:r>
            <w:r>
              <w:t xml:space="preserve">OSM is the escape-pathway marker that flags anti-TL1A non-responders — and ALX001's arm already tracks it. If a CDx-monospecific (tulisokibart) wins responders, ALX001 can deliberately own the </w:t>
            </w:r>
            <w:r>
              <w:rPr>
                <w:b/>
                <w:bCs/>
              </w:rPr>
              <w:t xml:space="preserve">OSM-high / CDx-negative escape population.</w:t>
            </w:r>
            <w:r>
              <w:t xml:space="preserve"> Engineering note: single-molecule bispecifics carry very-high CMC complexity (a cost and a barrier to entry).</w:t>
            </w:r>
          </w:p>
        </w:tc>
      </w:tr>
    </w:tbl>
    <w:p>
      <w:pPr>
        <w:spacing w:after="110"/>
      </w:pPr>
      <w:r>
        <w:rPr>
          <w:b/>
          <w:bCs/>
        </w:rPr>
        <w:t xml:space="preserve">Competitor win/fail [J]: </w:t>
      </w:r>
      <w:r>
        <w:t xml:space="preserve">tulisokibart wins if ATLAS confirms Ph2 + CDx enriches, fails if efficacy plateaus ~25-30%; RO7837195/MT-251 win if dual blockade shows additive efficacy, fail if it doesn't. The same test we apply to ALX001.</w:t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8"/>
      </w:r>
    </w:p>
    <w:p>
      <w:pPr>
        <w:pStyle w:val="Heading1"/>
      </w:pPr>
      <w:r>
        <w:t xml:space="preserve">4 · Value, deal &amp; counterparties</w:t>
      </w:r>
    </w:p>
    <w:p>
      <w:pPr>
        <w:spacing w:after="110"/>
      </w:pPr>
      <w:r>
        <w:rPr>
          <w:b/>
          <w:bCs/>
        </w:rPr>
        <w:t xml:space="preserve">[I] Addressable: </w:t>
      </w:r>
      <w:r>
        <w:t xml:space="preserve">~700K US biologic-failure patients in a $15B class. Value isn't linear — the same efficacy event earns very different multiples by the evidence bundle around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30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human efficacy)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[J]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CMC/manufacturing problems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 (thesis fails)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crowded monospecific-adjacent</w:t>
            </w:r>
          </w:p>
        </w:tc>
      </w:tr>
    </w:tbl>
    <w:p>
      <w:pPr>
        <w:spacing w:after="110"/>
      </w:pPr>
      <w:r>
        <w:rPr>
          <w:b/>
          <w:bCs/>
        </w:rPr>
        <w:t xml:space="preserve">Deal to pursue [J]: </w:t>
      </w:r>
      <w:r>
        <w:t xml:space="preserve">out-license/co-dev (not sale); ~$75-200M upfront, $1.5-3B biobucks, low-to-mid double-digit royalty; </w:t>
      </w:r>
      <w:r>
        <w:rPr>
          <w:b/>
          <w:bCs/>
        </w:rPr>
        <w:t xml:space="preserve">retain China, out-license ex-China</w:t>
      </w:r>
      <w:r>
        <w:t xml:space="preserve">; launch the process after Ph1a safety + dual-target-engagement PD. Comps: $10.8B / $7.25B / $2.5B / $1.5B.</w:t>
      </w:r>
      <w:r>
        <w:rPr>
          <w:rStyle w:val="FootnoteReference"/>
        </w:rPr>
        <w:footnoteReference w:id="9"/>
      </w:r>
    </w:p>
    <w:p>
      <w:pPr>
        <w:spacing w:after="110"/>
      </w:pPr>
      <w:r>
        <w:rPr>
          <w:b/>
          <w:bCs/>
        </w:rPr>
        <w:t xml:space="preserve">Counterparty [J]: </w:t>
      </w:r>
      <w:r>
        <w:t xml:space="preserve">Takeda is the priority (Entyvio cliff from 2027, GI-concentrated, no TL1A/IL-23 — a thesis, not a fact). AbbVie post-ABBV-701; Merck post-ATLAS-UC; Sanofi conflicted. </w:t>
      </w:r>
      <w:r>
        <w:rPr>
          <w:b/>
          <w:bCs/>
        </w:rPr>
        <w:t xml:space="preserve">China path: </w:t>
      </w:r>
      <w:r>
        <w:t xml:space="preserve">the lane is China-dense and Ailux is in the hub — a Western pharma licensing-in a China bispecific (BI–Simcere precedent) is plausibly ALX001's likeliest premium deal.</w:t>
      </w:r>
      <w:r>
        <w:rPr>
          <w:rStyle w:val="FootnoteReference"/>
        </w:rPr>
        <w:footnoteReference w:id="12"/>
      </w:r>
    </w:p>
    <w:p>
      <w:pPr>
        <w:spacing w:after="110"/>
      </w:pPr>
      <w:r>
        <w:rPr>
          <w:b/>
          <w:bCs/>
        </w:rPr>
        <w:t xml:space="preserve">Would doctors switch? [J] </w:t>
      </w:r>
      <w:r>
        <w:t xml:space="preserve">38% remission / clean / Q12W SC wins new-starts and post-IL-23 patients, but to displace entrenched Skyrizi/tulisokibart it likely needs a fistula, anti-fibrotic, or deep-remission edge — which should shape the Phase 2 endpoints now.</w:t>
      </w:r>
      <w:r>
        <w:rPr>
          <w:rStyle w:val="FootnoteReference"/>
        </w:rPr>
        <w:footnoteReference w:id="10"/>
      </w:r>
    </w:p>
    <w:p>
      <w:pPr>
        <w:pStyle w:val="Heading1"/>
      </w:pPr>
      <w:r>
        <w:t xml:space="preserve">5 · Catalysts, forecast logic &amp; what could kill it</w:t>
      </w:r>
    </w:p>
    <w:p>
      <w:pPr>
        <w:spacing w:after="110"/>
      </w:pPr>
      <w:r>
        <w:rPr>
          <w:b/>
          <w:bCs/>
        </w:rPr>
        <w:t xml:space="preserve">Near-term reads [P]: </w:t>
      </w:r>
      <w:r>
        <w:t xml:space="preserve">SPY002 SKYLINE-UC (~Jun'26, 60%); ATLAS-UC topline (~Q4'26, 70% — sets the bar); ABBV-701 Ph1 (~Oct'26, 75% — gates AbbVie); RO7837195/MT-251 bispecific reads ('26-'27 — test the thesis).</w:t>
      </w:r>
      <w:r>
        <w:rPr>
          <w:rStyle w:val="FootnoteReference"/>
        </w:rPr>
        <w:footnoteReference w:id="11"/>
      </w:r>
    </w:p>
    <w:p>
      <w:pPr>
        <w:spacing w:after="110"/>
      </w:pPr>
      <w:r>
        <w:rPr>
          <w:b/>
          <w:bCs/>
        </w:rPr>
        <w:t xml:space="preserve">Forecasts are auditable [P]. </w:t>
      </w:r>
      <w:r>
        <w:t xml:space="preserve">ATLAS 70% = base 50 +20 (positive Ph2) +15 (Merck/CDx) −10 (Ph2→3 dilution) −5 (CDx complexity). Every Meridian prediction carries this decomposition.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50"/>
        <w:gridCol w:w="343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 × bispecific signal)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43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43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up; accelerate BD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43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re-underwrite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43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 dual blockade; highest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43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 doubt; pivot/derisk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Kill scenario [J]. </w:t>
            </w:r>
            <w:r>
              <w:t xml:space="preserve">If RO7837195/MT-251 show no additive efficacy AND ATLAS hits, no one wants a bispecific that doesn't beat a monospecific — </w:t>
            </w:r>
            <w:r>
              <w:rPr>
                <w:b/>
                <w:bCs/>
              </w:rPr>
              <w:t xml:space="preserve">ALX001 → ~$0</w:t>
            </w:r>
            <w:r>
              <w:t xml:space="preserve"> (the Scenario-B world). Mitigation: a kill-fast Ph1b designed to read additive efficacy early and cheaply. Reaction-chain to exploit: ATLAS hitting raises Takeda's urgency — the best BD window opens 3-6 months after.</w:t>
            </w:r>
          </w:p>
        </w:tc>
      </w:tr>
    </w:tbl>
    <w:p>
      <w:pPr>
        <w:pStyle w:val="Heading1"/>
      </w:pPr>
      <w:r>
        <w:t xml:space="preserve">6 · Diligence checklist (what Ailux must supply)</w:t>
      </w:r>
    </w:p>
    <w:p>
      <w:pPr>
        <w:spacing w:after="110"/>
      </w:pPr>
      <w:r>
        <w:rPr>
          <w:b/>
          <w:bCs/>
          <w:color w:val="15803D"/>
        </w:rPr>
        <w:t xml:space="preserve">[F] Boundary: </w:t>
      </w:r>
      <w:r>
        <w:t xml:space="preserve">Meridian is external intelligence; the below is ALX001's proprietary data — the questions a partner presses, which the board must assemble (Meridian flags these gaps, never fabricates them):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partner will ask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good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target engagement additive; half-life supports Q12W SC in primate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GI/lymphoid histology; no cytokine-release signal from dual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XmAb942's low mAb rate; PK/efficacy impact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top-3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vs the BMS/Celgene-era TL1A estate</w:t>
            </w:r>
          </w:p>
        </w:tc>
      </w:tr>
    </w:tbl>
    <w:p>
      <w:pPr>
        <w:spacing w:after="110"/>
      </w:pPr>
      <w:r>
        <w:rPr>
          <w:b/>
          <w:bCs/>
        </w:rPr>
        <w:t xml:space="preserve">Why [J]: </w:t>
      </w:r>
      <w:r>
        <w:t xml:space="preserve">the strength of these answers — not the market model — decides whether the $6-12B band is reachable; FTO and ADA are the first things a buyer checks.</w:t>
      </w:r>
      <w:r>
        <w:rPr>
          <w:rStyle w:val="FootnoteReference"/>
        </w:rPr>
        <w:footnoteReference w:id="13"/>
      </w:r>
    </w:p>
    <w:p>
      <w:pPr>
        <w:pStyle w:val="Heading1"/>
      </w:pPr>
      <w:r>
        <w:t xml:space="preserve">Standing predictions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300"/>
        <w:gridCol w:w="1300"/>
        <w:gridCol w:w="1300"/>
      </w:tblGrid>
      <w:tr>
        <w:trPr>
          <w:tblHeader/>
        </w:trPr>
        <w:tc>
          <w:tcPr>
            <w:tcW w:type="dxa" w:w="54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Meridian call [P]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Conviction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By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primary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70%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Mar'27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Ph1 clean + advanced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75%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Jun'27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 bispecific human efficacy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60%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Dec'27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 bispecific deal ≥ 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70%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Dec'27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Takeda enters TL1A via M&amp;A/license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acquisition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55%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6"/>
              <w:bottom w:type="dxa" w:w="46"/>
              <w:right w:type="dxa" w:w="96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Dec'27</w:t>
            </w:r>
          </w:p>
        </w:tc>
      </w:tr>
    </w:tbl>
    <w:p>
      <w:pPr>
        <w:spacing w:after="110"/>
      </w:pPr>
      <w:r>
        <w:rPr>
          <w:b/>
          <w:bCs/>
        </w:rPr>
        <w:t xml:space="preserve">Accountability: </w:t>
      </w:r>
      <w:r>
        <w:t xml:space="preserve">these are scored against ground truth on the Predictions tab as they resolve — the brief states a view; the ledger keeps the score.</w:t>
      </w:r>
      <w:r>
        <w:rPr>
          <w:rStyle w:val="FootnoteReference"/>
        </w:rPr>
        <w:footnoteReference w:id="11"/>
      </w:r>
    </w:p>
    <w:p>
      <w:pPr>
        <w:spacing w:after="110"/>
      </w:pPr>
      <w:r>
        <w:rPr>
          <w:i/>
          <w:iCs/>
        </w:rPr>
        <w:t xml:space="preserve">Generated by Meridian from its source-traced intelligence graph. Refined edition: same intelligence as the full brief, distilled. Figures footnoted; claims tagged [F]/[I]/[J]/[P]; includes the 2026-06-07 accuracy corrections (Mirador added; ABBV-701 reclassified monospecific; inflated bispecific stages corrected).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Confidential · source-traced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Epidemiology (Meridian indication_patient_intelligence): UC ~900K US/$8B, ~25% SoC remission, 150-200K face colectomy; CD ~780K US/$7B, fistulizing CD ~30% largely untreated; IBD ~1.68M US/$15B, 40-50% fail biologics in 5 yrs, deep-remission ceiling 15-20%, dual-blockade hypothesis 30-40%.</w:t>
      </w:r>
    </w:p>
  </w:footnote>
  <w:footnote w:id="2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Target engagement vs efficacy (drug_pd_parameters + non_responder_profiles): tulisokibart ~90% sTL1A suppression but ~28% remission; afimkibart ~92%/~26%. Escape = IL-23-independent Th17 + epithelial restitution. anti-TL1A non-responders ~72% (Th17 escape); anti-IL-23 ~55% (Th1/IFN-g) — maps barely overlap.</w:t>
      </w:r>
    </w:p>
  </w:footnote>
  <w:footnote w:id="3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Mechanism precedent (mechanism_precedent_map): anti-TL1A PIONEER, 0 approvals (risk=superiority, not endpoints); anti-IL-23p19 ESTABLISHED, 3 approvals since 2017, risankizumab PsO-&gt;PsA-&gt;CD-&gt;UC playbook.</w:t>
      </w:r>
    </w:p>
  </w:footnote>
  <w:footnote w:id="4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Efficacy (conference): duvakitug UC 37% vs 13% pbo Wk12 p&lt;0.001 (ECCO'25 oral OP41), CD 43% (DDW'24); tulisokibart UC 28% vs 8% (ECCO'24); afimkibart TUSCANY-2 Ph2 primary miss. Placebo-adjusted: duvakitug +24pp vs tulisokibart +20pp — not head-to-head (endpoints/populations differ). CT.gov NCT05013138/NCT04737863/NCT06052059.</w:t>
      </w:r>
    </w:p>
  </w:footnote>
  <w:footnote w:id="5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PK/format: XmAb942 ~74d t1/2 SC (DDW'26 Mo1538, ECCO'26 P0984); SPY002 ~37d SC; tulisokibart ~27d IV; afimkibart ~21d SC; RO7837195 ~20d SC; duvakitug ~14d IV.</w:t>
      </w:r>
    </w:p>
  </w:footnote>
  <w:footnote w:id="6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Corrected stages (Meridian audit 2026-06-07): ABBV-701/FG-M701 = MONOSPECIFIC anti-TL1A (not bispecific); MT-251 (Mirador) = lead clinical p19-class bispecific, Ph1 FIH Q1'26 (NCT07423299, long-acting FcRn recycling); RO7837195 (Roche) = IL-23p40xTL1A bispecific w/ first bispecific clinical data (ECCO'26); XmAb412/SAB06/SIM0709 corrected to preclinical.</w:t>
      </w:r>
    </w:p>
  </w:footnote>
  <w:footnote w:id="7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Biomarkers (drug_biomarkers): predictive/CDx HLA-DQA1*05; escape OSM/OSMR; PD sTL1A/fecal calprotectin/CRP. ALX001's anti-TL1A arm already tracks OSM + FC.</w:t>
      </w:r>
    </w:p>
  </w:footnote>
  <w:footnote w:id="8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CMC (manufacturing_profile): bispecific = VERY-HIGH complexity (mispairing/aggregation/yield) vs HIGH for mAb — cost/timeline burden and barrier to entry.</w:t>
      </w:r>
    </w:p>
  </w:footnote>
  <w:footnote w:id="9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Deal comps (deals): Merck-Prometheus $10.8B (Ph2+CDx); Roche-Telavant $7.25B (pre-Ph3); Sanofi-Earendil $2.5B (preclinical bispecific); Sanofi-Teva duvakitug $1.5B (Ph2).</w:t>
      </w:r>
    </w:p>
  </w:footnote>
  <w:footnote w:id="10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Payer TPP, UC (payer_tpp_criteria): remission &gt;=35% to compete, &gt;50% Wk52 + mucosal healing preferred, SC Q8-12W, safety comparable to anti-IL-23.</w:t>
      </w:r>
    </w:p>
  </w:footnote>
  <w:footnote w:id="11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Meridian foresight_predictions — confidence set in advance, scored on /predictions.html.</w:t>
      </w:r>
    </w:p>
  </w:footnote>
  <w:footnote w:id="12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China (asset_transfer_history): p19-bispecific lane is China-dense (LaNova/Simcere/NovaMab/Elpiscience/Biocad/Qyuns); Ailux is Shanghai-based — inside the hub; BI-Simcere = the licensing-in precedent.</w:t>
      </w:r>
    </w:p>
  </w:footnote>
  <w:footnote w:id="13">
    <w:p>
      <w:r>
        <w:rPr>
          <w:rStyle w:val="FootnoteReference"/>
        </w:rPr>
        <w:footnoteRef/>
      </w:r>
      <w:r>
        <w:rPr>
          <w:sz w:val="14"/>
          <w:szCs w:val="14"/>
        </w:rPr>
        <w:t xml:space="preserve">Diligence gaps Meridian cannot supply (proprietary): NHP PK/PD, tox/histopath/CRS, ADA, CMC yields, composition-of-matter/FTO (BMS/Celgene-era TL1A estate). drug_patents/drug_safety tables EMPTY — flagged, not fabricated.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 — Refined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90" w:before="200"/>
      <w:outlineLvl w:val="0"/>
    </w:pPr>
    <w:rPr>
      <w:rFonts w:ascii="Arial" w:cs="Arial" w:eastAsia="Arial" w:hAnsi="Arial"/>
      <w:b/>
      <w:bCs/>
      <w:color w:val="1A3F8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2026-06-07T19:09:04.902Z</dcterms:created>
  <dcterms:modified xsi:type="dcterms:W3CDTF">2026-06-07T19:09:04.902Z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