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F8F" w:val="clear"/>
        <w:spacing w:after="0"/>
      </w:pPr>
      <w:r>
        <w:rPr>
          <w:b/>
          <w:bCs/>
          <w:color w:val="FFFFFF"/>
          <w:sz w:val="16"/>
          <w:szCs w:val="16"/>
        </w:rPr>
        <w:t xml:space="preserve">  ◆ THE MERIDIAN · AREA INTELLIGENCE BRIEF</w:t>
      </w:r>
      <w:r>
        <w:rPr>
          <w:color w:val="D7E3F5"/>
          <w:sz w:val="13"/>
          <w:szCs w:val="13"/>
        </w:rPr>
        <w:t xml:space="preserve">                                                                                  June 8, 2026</w:t>
      </w:r>
    </w:p>
    <w:p>
      <w:pPr>
        <w:shd w:fill="1A3F8F" w:val="clear"/>
        <w:spacing w:after="40" w:before="30"/>
      </w:pPr>
      <w:r>
        <w:rPr>
          <w:b/>
          <w:bCs/>
          <w:color w:val="FFFFFF"/>
          <w:sz w:val="29"/>
          <w:szCs w:val="29"/>
        </w:rPr>
        <w:t xml:space="preserve">  TL1A × IL-23p19 in UC/CD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~1.7M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US IBD patients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$30.7→41.9B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IBD market '24→'30 (Cowen)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40-50%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fail therapy / 5 yrs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15-20%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deep-remission ceiling</w:t>
            </w:r>
          </w:p>
        </w:tc>
        <w:tc>
          <w:tcPr>
            <w:tcW w:type="dxa" w:w="1872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EEF4FB" w:val="clear"/>
            <w:tcMar>
              <w:top w:type="dxa" w:w="70"/>
              <w:left w:type="dxa" w:w="38"/>
              <w:bottom w:type="dxa" w:w="70"/>
              <w:right w:type="dxa" w:w="38"/>
            </w:tcMar>
          </w:tcPr>
          <w:p>
            <w:pPr>
              <w:jc w:val="center"/>
            </w:pPr>
            <w:r>
              <w:rPr>
                <w:b/>
                <w:bCs/>
                <w:color w:val="1A3F8F"/>
                <w:sz w:val="24"/>
                <w:szCs w:val="24"/>
              </w:rPr>
              <w:t xml:space="preserve">6+</w:t>
            </w:r>
          </w:p>
          <w:p>
            <w:pPr>
              <w:jc w:val="center"/>
            </w:pPr>
            <w:r>
              <w:rPr>
                <w:color w:val="64748B"/>
                <w:sz w:val="12"/>
                <w:szCs w:val="12"/>
              </w:rPr>
              <w:t xml:space="preserve">mechanism classes in use</w:t>
            </w:r>
          </w:p>
        </w:tc>
      </w:tr>
    </w:tbl>
    <w:p>
      <w:pPr>
        <w:pStyle w:val="Heading1"/>
      </w:pPr>
      <w:r>
        <w:t xml:space="preserve">The landscape in brief</w:t>
      </w:r>
    </w:p>
    <w:p>
      <w:pPr>
        <w:spacing w:after="120"/>
      </w:pPr>
      <w:r>
        <w:t xml:space="preserve">Four anti-TL1A monotherapies are in Phase 3: </w:t>
      </w:r>
      <w:r>
        <w:rPr>
          <w:b/>
          <w:bCs/>
        </w:rPr>
        <w:t xml:space="preserve">tulisokibart</w:t>
      </w:r>
      <w:r>
        <w:t xml:space="preserve"> (Merck), </w:t>
      </w:r>
      <w:r>
        <w:rPr>
          <w:b/>
          <w:bCs/>
        </w:rPr>
        <w:t xml:space="preserve">afimkibart</w:t>
      </w:r>
      <w:r>
        <w:t xml:space="preserve"> (Roche), </w:t>
      </w:r>
      <w:r>
        <w:rPr>
          <w:b/>
          <w:bCs/>
        </w:rPr>
        <w:t xml:space="preserve">duvakitug</w:t>
      </w:r>
      <w:r>
        <w:t xml:space="preserve"> (Sanofi/Teva), and </w:t>
      </w:r>
      <w:r>
        <w:rPr>
          <w:b/>
          <w:bCs/>
        </w:rPr>
        <w:t xml:space="preserve">SPY002</w:t>
      </w:r>
      <w:r>
        <w:t xml:space="preserve"> (Spyre) in Phase 2. Anti-TL1A is clinically validated but not yet approved. The unresolved question is whether combining TL1A blockade with IL-23p19 blockade in a single molecule produces </w:t>
      </w:r>
      <w:r>
        <w:rPr>
          <w:b/>
          <w:bCs/>
        </w:rPr>
        <w:t xml:space="preserve">additive</w:t>
      </w:r>
      <w:r>
        <w:t xml:space="preserve"> efficacy beyond the best monotherapy; no bispecific has reported a human efficacy readout. A first additive-efficacy result, paired with a manufacturable long-acting subcutaneous profile and a clean safety dataset, enters a deal range set by </w:t>
      </w:r>
      <w:hyperlink w:history="1" r:id="rIdamsyvjm_rznouzucksqgy">
        <w:r>
          <w:rPr>
            <w:rStyle w:val="Hyperlink"/>
          </w:rPr>
          <w:t xml:space="preserve">Merck's $10.8B purchase of Prometheus and Roche's $7.1B purchase of Telavant</w:t>
        </w:r>
      </w:hyperlink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State of validation: </w:t>
            </w:r>
            <w:r>
              <w:t xml:space="preserve">IL-23p19 monotherapy is approved and durable in IBD; TL1A monotherapy is validated in Phase 2 and currently in Phase 3; the dual-mechanism bispecific is unproven and, in the clinic, uncrowded. The opportunity is the gap between today's ~15-20% deep-remission ceiling and the 30-40% dual blockade is hypothesized to reach.</w:t>
            </w:r>
          </w:p>
        </w:tc>
      </w:tr>
    </w:tbl>
    <w:p>
      <w:pPr>
        <w:pStyle w:val="Heading1"/>
      </w:pPr>
      <w:r>
        <w:t xml:space="preserve">What determines value here</w:t>
      </w:r>
    </w:p>
    <w:p>
      <w:pPr>
        <w:spacing w:after="120"/>
      </w:pPr>
      <w:r>
        <w:t xml:space="preserve">The axes on which TL1A/IL-23 assets are judged: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72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Axis</w:t>
            </w:r>
          </w:p>
        </w:tc>
        <w:tc>
          <w:tcPr>
            <w:tcW w:type="dxa" w:w="72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Specifics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Additive efficacy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must beat the best monospecific (duvakitug 37% UC, 43% CD); target engagement is ~90% yet remission is ~26% — engagement alone does not deliver remission. Several open questions sit under this, incl. durability and CD vs UC effect.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Format &amp; dosing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 SC (≈Q12W; XmAb942 ~74-day t½) vs IV infusion (tulisokibart, duvakitug); SC pen + no infusion center is the payer-preferred profile (see Payer).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 of therapy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entry is bio-experienced / multi-refractory; value rises with movement earlier in the sequence (see Lines of therapy).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Biomarker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companion diagnostic enriches responders (tulisokibart 32% vs 26% with its genetic test) or defines the escape segment (OSM-high) a monotherapy leaves behind.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Evidence bundle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(esp. infection in dual immunosuppression), immunogenicity, and CMC (bispecific = very-high complexity) move the deal multiple as much as the remission number.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Competitive set</w:t>
            </w:r>
          </w:p>
        </w:tc>
        <w:tc>
          <w:tcPr>
            <w:tcW w:type="dxa" w:w="72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competition is both target-space (other TL1A/IL-23 assets) and indication-space (JAK, S1P, TYK2 orals; anti-TNF biosimilars) — see Alternative mechanisms.</w:t>
            </w:r>
          </w:p>
        </w:tc>
      </w:tr>
    </w:tbl>
    <w:p>
      <w:pPr>
        <w:spacing w:after="120"/>
      </w:pPr>
      <w:r>
        <w:rPr>
          <w:b/>
          <w:bCs/>
        </w:rPr>
        <w:t xml:space="preserve">Field view. </w:t>
      </w:r>
      <w:r>
        <w:t xml:space="preserve">Independent commentary (</w:t>
      </w:r>
      <w:hyperlink w:history="1" r:id="rIdblmckvfiidsh0mjmqwi8v">
        <w:r>
          <w:rPr>
            <w:rStyle w:val="Hyperlink"/>
          </w:rPr>
          <w:t xml:space="preserve">ACG review, 2024</w:t>
        </w:r>
      </w:hyperlink>
      <w:r>
        <w:t xml:space="preserve">) describes anti-TL1A as a credible new class while noting remission rates remain modest and durability and positioning are unproven</w:t>
      </w:r>
      <w:r>
        <w:t xml:space="preserve"/>
      </w:r>
      <w:r>
        <w:t xml:space="preserve"> — the case for a mechanism that lifts the efficacy ceiling rather than adding another single-pathway option. </w:t>
      </w:r>
      <w:r>
        <w:rPr>
          <w:b/>
          <w:bCs/>
        </w:rPr>
        <w:t xml:space="preserve">TD Cowen's 2025 GI Outlook</w:t>
      </w:r>
      <w:r>
        <w:t xml:space="preserve"> reaches the same conclusion from the sell-side: TL1A monotherapy data are 'more similar than different' across programs, and combinations may be needed in TNF-experienced patients — the exact gap a TL1A×IL-23p19 bispecific targets.</w:t>
      </w:r>
    </w:p>
    <w:p>
      <w:pPr>
        <w:pStyle w:val="Heading1"/>
      </w:pPr>
      <w:r>
        <w:t xml:space="preserve">1 · Patient &amp; disease (UC and CD)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350"/>
        <w:gridCol w:w="1350"/>
        <w:gridCol w:w="4610"/>
      </w:tblGrid>
      <w:tr>
        <w:trPr>
          <w:tblHeader/>
        </w:trPr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CD</w:t>
            </w:r>
          </w:p>
        </w:tc>
        <w:tc>
          <w:tcPr>
            <w:tcW w:type="dxa" w:w="46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 patients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~0.9-1.25M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~0.78M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~1.7M combined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SoC remission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~20-35%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deep remission 15-20% either disease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Surgical endpoint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colectomy (~150-200K)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resection (~80% / 20 yrs)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CD also: fistulizing ~30%, transmural healing &lt;10%</w:t>
            </w:r>
          </w:p>
        </w:tc>
      </w:tr>
      <w:tr>
        <w:trPr>
          <w:tblHeader w:val="false"/>
        </w:trPr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Distinct challenge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mucosal disease, endoscopic healing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stricturing/fibrosis, perianal/fistulizing</w:t>
            </w:r>
          </w:p>
        </w:tc>
        <w:tc>
          <w:tcPr>
            <w:tcW w:type="dxa" w:w="46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TL1A's fibro-stromal role is most relevant in CD</w:t>
            </w:r>
          </w:p>
        </w:tc>
      </w:tr>
    </w:tbl>
    <w:p>
      <w:pPr>
        <w:spacing w:after="120"/>
      </w:pPr>
      <w:r>
        <w:t xml:space="preserve">Both diseases share a </w:t>
      </w:r>
      <w:r>
        <w:rPr>
          <w:b/>
          <w:bCs/>
        </w:rPr>
        <w:t xml:space="preserve">remission ceiling</w:t>
      </w:r>
      <w:r>
        <w:t xml:space="preserve">: the best agents reach ~15-20% deep remission and </w:t>
      </w:r>
      <w:hyperlink w:history="1" r:id="rId2uhl4v74yrmltqlqvhgm2">
        <w:r>
          <w:rPr>
            <w:rStyle w:val="Hyperlink"/>
          </w:rPr>
          <w:t xml:space="preserve">40-50% of patients fail or lose response within five years</w:t>
        </w:r>
      </w:hyperlink>
      <w:r>
        <w:t xml:space="preserve"> (secondary loss ~10-20%/yr). The diseases differ in what is unmet: UC turns on mucosal/endoscopic healing and the colectomy endpoint; CD adds fibrostenotic and fistulizing complications that no current agent durably resolves — and where TL1A's role in fibro-stromal remodeling is mechanistically most relevant. A dual-mechanism asset should be read against both.</w:t>
      </w:r>
    </w:p>
    <w:p>
      <w:pPr>
        <w:spacing w:after="120"/>
      </w:pPr>
      <w:r>
        <w:rPr>
          <w:b/>
          <w:bCs/>
        </w:rPr>
        <w:t xml:space="preserve">The patient, not just the disease. </w:t>
      </w:r>
      <w:r>
        <w:t xml:space="preserve">IBD usually begins between 15 and 35; a Crohn's diagnosis is often </w:t>
      </w:r>
      <w:hyperlink w:history="1" r:id="rIdhwuhpr4yezd1vgimh1xlu">
        <w:r>
          <w:rPr>
            <w:rStyle w:val="Hyperlink"/>
          </w:rPr>
          <w:t xml:space="preserve">delayed ~5-9 months and follows roughly 3.5 physician visits</w:t>
        </w:r>
      </w:hyperlink>
      <w:r>
        <w:t xml:space="preserve">, and that delay tracks with strictures and surgery — so the population reaching an advanced therapy is young, working-age, and frequently already complicated. Their lived experience is flares, steroid courses, infusion-center visits or self-injection, and the fear of surgery; “better,” from their side, means steroid-free remission, no colectomy, fewer flares, and a dosing schedule that fits a working life. Real-world data show how high that bar is: </w:t>
      </w:r>
      <w:hyperlink w:history="1" r:id="rIdjvivthcwn2eqp6n-mgrxc">
        <w:r>
          <w:rPr>
            <w:rStyle w:val="Hyperlink"/>
          </w:rPr>
          <w:t xml:space="preserve">only ~45-48% remain on their first biologic at one year</w:t>
        </w:r>
      </w:hyperlink>
      <w:r>
        <w:t xml:space="preserve"> before loss of response or dosing burden moves them off it. A durable, deep, conveniently-dosed remission is therefore a patient outcome and a commercial moat at once.</w:t>
      </w:r>
    </w:p>
    <w:p>
      <w:pPr>
        <w:spacing w:after="120"/>
      </w:pPr>
      <w:r>
        <w:rPr>
          <w:b/>
          <w:bCs/>
        </w:rPr>
        <w:t xml:space="preserve">Why a bispecific. </w:t>
      </w:r>
      <w:r>
        <w:t xml:space="preserve">Anti-TL1A monotherapy leaves an IL-23-dependent Th17 escape route open (Section 3); IL-23p19 monotherapy leaves a non-overlapping Th1/IFN-γ route. One molecule covering both is the mechanism-level response to a ceiling single pathways have not broken — the same logic behind AbbVie pairing </w:t>
      </w:r>
      <w:r>
        <w:rPr>
          <w:b/>
          <w:bCs/>
        </w:rPr>
        <w:t xml:space="preserve">ABBV-701</w:t>
      </w:r>
      <w:r>
        <w:t xml:space="preserve"> (anti-TL1A) with </w:t>
      </w:r>
      <w:r>
        <w:rPr>
          <w:b/>
          <w:bCs/>
        </w:rPr>
        <w:t xml:space="preserve">SKYRIZI</w:t>
      </w:r>
      <w:r>
        <w:t xml:space="preserve"> (IL-23) as a two-drug regimen.</w:t>
      </w:r>
      <w:r>
        <w:t xml:space="preserve"/>
      </w:r>
    </w:p>
    <w:p>
      <w:pPr>
        <w:pStyle w:val="Heading1"/>
      </w:pPr>
      <w:r>
        <w:t xml:space="preserve">2 · Lines of therapy &amp; where TL1A/IL-23 sits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905"/>
        <w:gridCol w:w="3905"/>
      </w:tblGrid>
      <w:tr>
        <w:trPr>
          <w:tblHeader/>
        </w:trPr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Line</w:t>
            </w:r>
          </w:p>
        </w:tc>
        <w:tc>
          <w:tcPr>
            <w:tcW w:type="dxa" w:w="390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</w:t>
            </w:r>
          </w:p>
        </w:tc>
        <w:tc>
          <w:tcPr>
            <w:tcW w:type="dxa" w:w="3905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Crohn's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1L conventional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5-ASA, corticosteroids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corticosteroids, immunomodulators (AZA/MTX)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2L advanced (entry)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(biosimilar, payer-preferred on cost), vedolizumab, ustekinumab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(infliximab/adalimumab), vedolizumab, ustekinumab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3L+ / refractory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 (risankizumab, mirikizumab), upadacitinib (JAK), S1P (etrasimod)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IL-23p19, upadacitinib; fistulizing CD largely unmet</w:t>
            </w:r>
          </w:p>
        </w:tc>
      </w:tr>
      <w:tr>
        <w:trPr>
          <w:tblHeader w:val="false"/>
        </w:trPr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TL1A/IL-23 likely entry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bio-experienced / multi-refractory, then earlier with data</w:t>
            </w:r>
          </w:p>
        </w:tc>
        <w:tc>
          <w:tcPr>
            <w:tcW w:type="dxa" w:w="3905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bio-experienced; fibrostenotic/fistulizing is the white space</w:t>
            </w:r>
          </w:p>
        </w:tc>
      </w:tr>
    </w:tbl>
    <w:p>
      <w:pPr>
        <w:spacing w:after="120"/>
      </w:pPr>
      <w:r>
        <w:t xml:space="preserve">Step therapy and payer rules generally </w:t>
      </w:r>
      <w:hyperlink w:history="1" r:id="rIdfqqa_z6n19kb5kiglx-1s">
        <w:r>
          <w:rPr>
            <w:rStyle w:val="Hyperlink"/>
          </w:rPr>
          <w:t xml:space="preserve">force an anti-TNF biosimilar before newer advanced agents</w:t>
        </w:r>
      </w:hyperlink>
      <w:r>
        <w:t xml:space="preserve">, so a new mechanism enters in the </w:t>
      </w:r>
      <w:r>
        <w:rPr>
          <w:b/>
          <w:bCs/>
        </w:rPr>
        <w:t xml:space="preserve">biologic-experienced</w:t>
      </w:r>
      <w:r>
        <w:t xml:space="preserve"> population and earns earlier placement only with superior data. Addressable value therefore scales with how early in the sequence the asset can credibly move — and a bispecific's additive-efficacy claim is the lever that justifies moving up.</w:t>
      </w:r>
    </w:p>
    <w:p>
      <w:pPr>
        <w:pStyle w:val="Heading1"/>
      </w:pPr>
      <w:r>
        <w:t xml:space="preserve">3 · The scientific thesis</w:t>
      </w:r>
    </w:p>
    <w:p>
      <w:pPr>
        <w:pStyle w:val="Heading2"/>
      </w:pPr>
      <w:r>
        <w:t xml:space="preserve">The targets, precisely</w:t>
      </w:r>
    </w:p>
    <w:p>
      <w:pPr>
        <w:spacing w:after="120"/>
      </w:pPr>
      <w:r>
        <w:t xml:space="preserve">The bet is on two genetically human-validated targets. </w:t>
      </w:r>
      <w:r>
        <w:rPr>
          <w:b/>
          <w:bCs/>
        </w:rPr>
        <w:t xml:space="preserve">TL1A</w:t>
      </w:r>
      <w:r>
        <w:t xml:space="preserve"> — the </w:t>
      </w:r>
      <w:hyperlink w:history="1" r:id="rIdenzycp-yojoqcn0qgbnt4">
        <w:r>
          <w:rPr>
            <w:rStyle w:val="Hyperlink"/>
          </w:rPr>
          <w:t xml:space="preserve">TNFSF15 gene product</w:t>
        </w:r>
      </w:hyperlink>
      <w:r>
        <w:t xml:space="preserve"> (TNF superfamily) — costimulates effector T cells via its receptor </w:t>
      </w:r>
      <w:r>
        <w:rPr>
          <w:b/>
          <w:bCs/>
        </w:rPr>
        <w:t xml:space="preserve">DR3</w:t>
      </w:r>
      <w:r>
        <w:t xml:space="preserve"> (TNFRSF25) and is buffered by the decoy DcR3; TNFSF15 is a validated IBD risk locus across multiple ancestries, and TL1A/DR3 is upregulated in inflamed UC and CD mucosa, driving Th1/Th17 inflammation and fibro-stromal remodeling. </w:t>
      </w:r>
      <w:r>
        <w:rPr>
          <w:b/>
          <w:bCs/>
        </w:rPr>
        <w:t xml:space="preserve">IL-23</w:t>
      </w:r>
      <w:r>
        <w:t xml:space="preserve"> — a p19 (IL23A) + p40 heterodimer signalling via IL-23R — sustains pathogenic Th17, and </w:t>
      </w:r>
      <w:r>
        <w:rPr>
          <w:b/>
          <w:bCs/>
        </w:rPr>
        <w:t xml:space="preserve">IL23R</w:t>
      </w:r>
      <w:r>
        <w:t xml:space="preserve"> is itself a landmark IBD gene. Both arms are validated by human genetics and by drugs; what is unproven is their combination, not either target. </w:t>
      </w:r>
      <w:r>
        <w:rPr>
          <w:b/>
          <w:bCs/>
        </w:rPr>
        <w:t xml:space="preserve">On-target ceiling: </w:t>
      </w:r>
      <w:r>
        <w:t xml:space="preserve">DR3 signalling also supports regulatory-T-cell homeostasis, so the theoretical limit on TL1A blockade is immune over-suppression — and the concrete clinical question that gates the bispecific is infection risk under simultaneous TL1A + IL-23 blockade (Section 6).</w:t>
      </w:r>
    </w:p>
    <w:p>
      <w:pPr>
        <w:pStyle w:val="Heading2"/>
      </w:pPr>
      <w:r>
        <w:t xml:space="preserve">Engagement vs efficacy</w:t>
      </w:r>
    </w:p>
    <w:p>
      <w:pPr>
        <w:spacing w:after="120"/>
      </w:pPr>
      <w:r>
        <w:t xml:space="preserve">Anti-TL1A antibodies achieve ~90% suppression of free soluble TL1A (tulisokibart ~90%, afimkibart ~92%), yet clinical remission is ~26%. In </w:t>
      </w:r>
      <w:hyperlink w:history="1" r:id="rIdyb6brep7t85kigc_ihbsr">
        <w:r>
          <w:rPr>
            <w:rStyle w:val="Hyperlink"/>
          </w:rPr>
          <w:t xml:space="preserve">ARTEMIS-UC</w:t>
        </w:r>
      </w:hyperlink>
      <w:r>
        <w:t xml:space="preserve">, tulisokibart produced 26% remission vs 1% placebo at Week 12, and 32% vs 11% in a genetic-biomarker-selected subgroup.</w:t>
      </w:r>
      <w:r>
        <w:t xml:space="preserve"/>
      </w:r>
      <w:r>
        <w:t xml:space="preserve"> The antibody binds and neutralizes its target; the disease persists in roughly three-quarters of patients. Closing that gap is a problem the field has to solve.</w:t>
      </w:r>
    </w:p>
    <w:p>
      <w:pPr>
        <w:pStyle w:val="Heading2"/>
      </w:pPr>
      <w:r>
        <w:t xml:space="preserve">The escape pathway</w:t>
      </w:r>
    </w:p>
    <w:p>
      <w:pPr>
        <w:spacing w:after="120"/>
      </w:pPr>
      <w:r>
        <w:t xml:space="preserve">TL1A blockade leaves </w:t>
      </w:r>
      <w:r>
        <w:rPr>
          <w:b/>
          <w:bCs/>
        </w:rPr>
        <w:t xml:space="preserve">IL-23-dependent Th17 activation</w:t>
      </w:r>
      <w:r>
        <w:t xml:space="preserve"> and epithelial-restitution failure untouched. Anti-TL1A non-responders escape predominantly through Th17 routes; anti-IL-23 non-responders escape through Th1 / IL-12-independent IFN-γ — two largely non-overlapping maps. Afimkibart's serum proteomics show the converse: it downregulates Th17, myeloid and fibrotic pathways</w:t>
      </w:r>
      <w:r>
        <w:t xml:space="preserve"/>
      </w:r>
      <w:r>
        <w:t xml:space="preserve">, confirming TL1A's fibrotic reach and where a second mechanism remains needed.</w:t>
      </w:r>
    </w:p>
    <w:p>
      <w:pPr>
        <w:pStyle w:val="Heading2"/>
      </w:pPr>
      <w:r>
        <w:t xml:space="preserve">Why IL-23p19, and what is already proven</w:t>
      </w:r>
    </w:p>
    <w:p>
      <w:pPr>
        <w:spacing w:after="120"/>
      </w:pPr>
      <w:r>
        <w:t xml:space="preserve">IL-23p19 closes the Th17 route while preserving IL-12/Th1 immunity (unlike p40), and </w:t>
      </w:r>
      <w:r>
        <w:rPr>
          <w:b/>
          <w:bCs/>
        </w:rPr>
        <w:t xml:space="preserve">it is already validated in IBD</w:t>
      </w:r>
      <w:r>
        <w:t xml:space="preserve">: mirikizumab (Omvoh) approved UC 2023 and CD 2025 with </w:t>
      </w:r>
      <w:hyperlink w:history="1" r:id="rIdstxbziffjcwzvtytyfrvg">
        <w:r>
          <w:rPr>
            <w:rStyle w:val="Hyperlink"/>
          </w:rPr>
          <w:t xml:space="preserve">four-year durability</w:t>
        </w:r>
      </w:hyperlink>
      <w:r>
        <w:t xml:space="preserve">, risankizumab (Skyrizi) approved CD and UC, guselkumab approved. Of the two arms, IL-23p19 is fully de-risked, TL1A is partially de-risked (positive Phase 2, in Phase 3, not approved), and the combination is the only unproven element. The remaining work is the additive-efficacy readout, not validation of either pathway.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Testable conclusion. </w:t>
            </w:r>
            <w:r>
              <w:t xml:space="preserve">If the engagement-to-remission gap is driven by a non-overlapping IL-23-dependent escape route, dual blockade should convert engagement into remission — the 30-40% deep-remission hypothesis. It is falsifiable: if dual blockade does not beat the best monospecific, the thesis fails. </w:t>
            </w:r>
            <w:r>
              <w:t xml:space="preserve">RO7837195 (p40×TL1A) and MT-251 are the </w:t>
            </w:r>
            <w:hyperlink w:history="1" r:id="rIdu-g80q4a1whoxkwx-yxqe">
              <w:r>
                <w:rPr>
                  <w:rStyle w:val="Hyperlink"/>
                </w:rPr>
                <w:t xml:space="preserve">first programs positioned to test it</w:t>
              </w:r>
            </w:hyperlink>
            <w:r>
              <w:t xml:space="preserve">; neither has reported additive efficacy.</w:t>
            </w:r>
          </w:p>
        </w:tc>
      </w:tr>
    </w:tbl>
    <w:p>
      <w:pPr>
        <w:pStyle w:val="Heading1"/>
      </w:pPr>
      <w:r>
        <w:t xml:space="preserve">4 · Competition &amp; data</w:t>
      </w:r>
    </w:p>
    <w:p>
      <w:pPr>
        <w:spacing w:after="120"/>
      </w:pPr>
      <w:r>
        <w:t xml:space="preserve">Efficacy is Phase 2 induction in patients (not head-to-head — endpoints, populations and trials differ).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1000"/>
        <w:gridCol w:w="2560"/>
        <w:gridCol w:w="1200"/>
        <w:gridCol w:w="1200"/>
      </w:tblGrid>
      <w:tr>
        <w:trPr>
          <w:tblHeader/>
        </w:trPr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Owner (originator)</w:t>
            </w:r>
          </w:p>
        </w:tc>
        <w:tc>
          <w:tcPr>
            <w:tcW w:type="dxa" w:w="1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25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route</w:t>
            </w:r>
          </w:p>
        </w:tc>
        <w:tc>
          <w:tcPr>
            <w:tcW w:type="dxa" w:w="12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UC / CD Ph2</w:t>
            </w:r>
          </w:p>
        </w:tc>
        <w:tc>
          <w:tcPr>
            <w:tcW w:type="dxa" w:w="12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Src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Merck (Prometheus)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IV (+Dx)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26% / 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duvakitug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 (Teva)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IV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37% / 43%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afimkibart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(Telavant)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Ph3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30-35%* / 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Spyre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HLE anti-TL1A mAb,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pending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AbbVie (FutureGen)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anti-TL1A mAb (mono)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RO7837195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(/Pfizer)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IL-23p40×TL1A bisp,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 data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MT-251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Mirador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 bisp, SC (LA)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CLD-423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Caldera (Qyuns)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Ph1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IL-23p19×TL1A bisp, SC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XmAb412</w:t>
            </w:r>
          </w:p>
        </w:tc>
        <w:tc>
          <w:tcPr>
            <w:tcW w:type="dxa" w:w="1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Xencor</w:t>
            </w:r>
          </w:p>
        </w:tc>
        <w:tc>
          <w:tcPr>
            <w:tcW w:type="dxa" w:w="1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Precl.</w:t>
            </w:r>
          </w:p>
        </w:tc>
        <w:tc>
          <w:tcPr>
            <w:tcW w:type="dxa" w:w="25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TL1A×IL-23p19 bisp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spacing w:after="120"/>
      </w:pPr>
      <w:r>
        <w:rPr>
          <w:sz w:val="15"/>
          <w:szCs w:val="15"/>
        </w:rPr>
        <w:t xml:space="preserve">*</w:t>
      </w:r>
      <w:r>
        <w:rPr>
          <w:color w:val="64748B"/>
          <w:sz w:val="15"/>
          <w:szCs w:val="15"/>
        </w:rPr>
        <w:t xml:space="preserve">afimkibart modified-Mayo secondary. </w:t>
      </w:r>
      <w:r>
        <w:rPr>
          <w:b/>
          <w:bCs/>
        </w:rPr>
        <w:t xml:space="preserve">The afimkibart 'miss', read correctly: </w:t>
      </w:r>
      <w:r>
        <w:t xml:space="preserve">TUSCANY-2's </w:t>
      </w:r>
      <w:r>
        <w:rPr>
          <w:b/>
          <w:bCs/>
        </w:rPr>
        <w:t xml:space="preserve">primary</w:t>
      </w:r>
      <w:r>
        <w:t xml:space="preserve"> (total Mayo) was not significant (26/23/24% vs 12%), but its </w:t>
      </w:r>
      <w:r>
        <w:rPr>
          <w:b/>
          <w:bCs/>
        </w:rPr>
        <w:t xml:space="preserve">secondary</w:t>
      </w:r>
      <w:r>
        <w:t xml:space="preserve"> using the modified Mayo — the endpoint tulisokibart, duvakitug and the FDA now use — </w:t>
      </w:r>
      <w:hyperlink w:history="1" r:id="rIdvrx7d_soasy8xaeotulhw">
        <w:r>
          <w:rPr>
            <w:rStyle w:val="Hyperlink"/>
          </w:rPr>
          <w:t xml:space="preserve">was significant (30/35/32% vs 12%)</w:t>
        </w:r>
      </w:hyperlink>
      <w:r>
        <w:t xml:space="preserve">. The mechanism did not fail; endpoint choice decided how the trial read, and afimkibart's efficacy sits in the same band as its peers. Roche is continuing development.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1A3F8F" w:sz="18"/>
              <w:bottom w:val="none"/>
              <w:right w:val="none"/>
            </w:tcBorders>
            <w:shd w:fill="EEF4FB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bar to beat, in numbers. </w:t>
            </w:r>
            <w:r>
              <w:t xml:space="preserve">The approved IL-23p19 standard in UC is the benchmark a bispecific has to clear: </w:t>
            </w:r>
            <w:hyperlink w:history="1" r:id="rId1-fpkb79nz78x2q_kgxkm">
              <w:r>
                <w:rPr>
                  <w:rStyle w:val="Hyperlink"/>
                </w:rPr>
                <w:t xml:space="preserve">risankizumab Wk12 remission 20.3% vs 6.2%; guselkumab Wk44 maintenance 50% / 45% vs 19% (with roughly two-thirds of remitters also in endoscopic remission); mirikizumab ~50% maintenance</w:t>
              </w:r>
            </w:hyperlink>
            <w:r>
              <w:t xml:space="preserve">. To justify the added format/safety/CMC complexity, a dual-mechanism asset must show induction above ~25-30% and durable maintenance and endoscopic healing materially beyond this — additive efficacy, not parity.</w:t>
            </w:r>
          </w:p>
        </w:tc>
      </w:tr>
    </w:tbl>
    <w:p>
      <w:pPr>
        <w:pStyle w:val="Heading2"/>
      </w:pPr>
      <w:r>
        <w:t xml:space="preserve">BD overlay — control, availability, and the so-what</w:t>
      </w:r>
    </w:p>
    <w:p>
      <w:pPr>
        <w:spacing w:after="120"/>
      </w:pPr>
      <w:r>
        <w:t xml:space="preserve">Competitive data becomes a BD decision only once you layer on who controls each asset, whether it can be transacted, and what its existence means for a buyer: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20"/>
        <w:gridCol w:w="1340"/>
        <w:gridCol w:w="4900"/>
      </w:tblGrid>
      <w:tr>
        <w:trPr>
          <w:tblHeader/>
        </w:trPr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62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134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49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So-what for a buyer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Merck (acq. Prometheus)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sets the monospecific bar; not for sale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duvakitug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Sanofi + Teva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partnered / locked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co-owned; defines the Ph3 monospecific benchmark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afimkibart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(acq. Telavant)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in-house; Roche also holds the RO7837195 bispecific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SPY002 / platform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Spyre (independent)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acquirable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cleanest pure-play IBD-platform target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RO7837195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Roche / Pfizer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locked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bispecific clinical data; not available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MT-251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Mirador (independent)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acquirable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long-acting bispecific inside one small company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14274A"/>
                <w:sz w:val="17"/>
                <w:szCs w:val="17"/>
              </w:rPr>
              <w:t xml:space="preserve">XmAb412</w:t>
            </w:r>
          </w:p>
        </w:tc>
        <w:tc>
          <w:tcPr>
            <w:tcW w:type="dxa" w:w="162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Xencor</w:t>
            </w:r>
          </w:p>
        </w:tc>
        <w:tc>
          <w:tcPr>
            <w:tcW w:type="dxa" w:w="134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partnerable</w:t>
            </w:r>
          </w:p>
        </w:tc>
        <w:tc>
          <w:tcPr>
            <w:tcW w:type="dxa" w:w="49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 bispecific; Xencor licenses readily</w:t>
            </w:r>
          </w:p>
        </w:tc>
      </w:tr>
    </w:tbl>
    <w:p>
      <w:pPr>
        <w:spacing w:after="120"/>
      </w:pPr>
      <w:r>
        <w:rPr>
          <w:b/>
          <w:bCs/>
        </w:rPr>
        <w:t xml:space="preserve">Read. </w:t>
      </w:r>
      <w:r>
        <w:t xml:space="preserve">The validated monospecifics are all locked inside large pharma; the transactable bispecific optionality sits with a small set of independents — </w:t>
      </w:r>
      <w:r>
        <w:rPr>
          <w:b/>
          <w:bCs/>
        </w:rPr>
        <w:t xml:space="preserve">Spyre, Mirador, Xencor</w:t>
      </w:r>
      <w:r>
        <w:t xml:space="preserve"> — plus the China-origin programs (Section 10). That is where a TL1A×IL-23 position can actually be acquired, and the timing of any move is gated by their catalysts (Section 7).</w:t>
      </w:r>
    </w:p>
    <w:p>
      <w:pPr>
        <w:pStyle w:val="Heading2"/>
      </w:pPr>
      <w:r>
        <w:t xml:space="preserve">Pharmacokinetics, format &amp; dosing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1250"/>
        <w:gridCol w:w="1150"/>
        <w:gridCol w:w="5110"/>
      </w:tblGrid>
      <w:tr>
        <w:trPr>
          <w:tblHeader/>
        </w:trPr>
        <w:tc>
          <w:tcPr>
            <w:tcW w:type="dxa" w:w="18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Asset</w:t>
            </w:r>
          </w:p>
        </w:tc>
        <w:tc>
          <w:tcPr>
            <w:tcW w:type="dxa" w:w="12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Half-life</w:t>
            </w:r>
          </w:p>
        </w:tc>
        <w:tc>
          <w:tcPr>
            <w:tcW w:type="dxa" w:w="1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51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Format / dosing note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XmAb942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~74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Fc/FcRn-engineered anti-TL1A; supports ~Q12W — the format benchmark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SPY002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~37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half-life-extended mAb; infrequent SC maintenance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tulisokibart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~27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 induction + maintenance — a payer/convenience disadvantage; carries a genetic CDx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RO7837195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bispecific human PK; full IgG-like dual-targeting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duvakitug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~14 d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IV; shortest half-life of the group</w:t>
            </w:r>
          </w:p>
        </w:tc>
      </w:tr>
      <w:tr>
        <w:trPr>
          <w:tblHeader w:val="false"/>
        </w:trPr>
        <w:tc>
          <w:tcPr>
            <w:tcW w:type="dxa" w:w="18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MT-251</w:t>
            </w:r>
          </w:p>
        </w:tc>
        <w:tc>
          <w:tcPr>
            <w:tcW w:type="dxa" w:w="12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long-acting</w:t>
            </w:r>
          </w:p>
        </w:tc>
        <w:tc>
          <w:tcPr>
            <w:tcW w:type="dxa" w:w="1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</w:t>
            </w:r>
          </w:p>
        </w:tc>
        <w:tc>
          <w:tcPr>
            <w:tcW w:type="dxa" w:w="51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pH-sensitive binding + FcRn recycling, engineered for quarterly-plus dosing</w:t>
            </w:r>
          </w:p>
        </w:tc>
      </w:tr>
    </w:tbl>
    <w:p>
      <w:pPr>
        <w:spacing w:after="120"/>
      </w:pPr>
      <w:r>
        <w:rPr>
          <w:b/>
          <w:bCs/>
        </w:rPr>
        <w:t xml:space="preserve">Read. </w:t>
      </w:r>
      <w:r>
        <w:t xml:space="preserve">Efficacy and stage leadership currently sit with IV agents; the format frontier is long-acting SC. An asset combining additive efficacy with XmAb942-class half-life and SC delivery would lead on both — a profile none has shown.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9A6A00" w:sz="18"/>
              <w:bottom w:val="none"/>
              <w:right w:val="none"/>
            </w:tcBorders>
            <w:shd w:fill="FFF7E6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Biomarker direction worth considering. </w:t>
            </w:r>
            <w:r>
              <w:t xml:space="preserve">High mucosal OSM is associated with non-response to anti-TNF and single-cytokine blockade</w:t>
            </w:r>
            <w:r>
              <w:t xml:space="preserve"/>
            </w:r>
            <w:r>
              <w:t xml:space="preserve">; it is a rational selection marker for the escape population a TL1A monotherapy leaves behind, and a way a dual-blockade asset could define and own a segment a CDx-enriched monotherapy excludes. This is a hypothesis the biology supports, not a validated companion diagnostic.</w:t>
            </w:r>
          </w:p>
        </w:tc>
      </w:tr>
    </w:tbl>
    <w:p>
      <w:pPr>
        <w:pStyle w:val="Heading1"/>
      </w:pPr>
      <w:r>
        <w:t xml:space="preserve">5 · Alternative mechanisms &amp; the broader competition</w:t>
      </w:r>
    </w:p>
    <w:p>
      <w:pPr>
        <w:spacing w:after="120"/>
      </w:pPr>
      <w:r>
        <w:t xml:space="preserve">A TL1A/IL-23 asset competes in two arenas. </w:t>
      </w:r>
      <w:r>
        <w:rPr>
          <w:b/>
          <w:bCs/>
        </w:rPr>
        <w:t xml:space="preserve">Target space</w:t>
      </w:r>
      <w:r>
        <w:t xml:space="preserve"> is the other TL1A and TL1A×IL-23 programs above. </w:t>
      </w:r>
      <w:r>
        <w:rPr>
          <w:b/>
          <w:bCs/>
        </w:rPr>
        <w:t xml:space="preserve">Indication space</w:t>
      </w:r>
      <w:r>
        <w:t xml:space="preserve"> is the </w:t>
      </w:r>
      <w:hyperlink w:history="1" r:id="rIdgyn5c5w910d1jqf4kyyft">
        <w:r>
          <w:rPr>
            <w:rStyle w:val="Hyperlink"/>
          </w:rPr>
          <w:t xml:space="preserve">full IBD armamentarium</w:t>
        </w:r>
      </w:hyperlink>
      <w:r>
        <w:t xml:space="preserve"> a prescriber and payer choose among — and it is increasingly oral.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1450"/>
        <w:gridCol w:w="3710"/>
      </w:tblGrid>
      <w:tr>
        <w:trPr>
          <w:tblHeader/>
        </w:trPr>
        <w:tc>
          <w:tcPr>
            <w:tcW w:type="dxa" w:w="21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20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  <w:tc>
          <w:tcPr>
            <w:tcW w:type="dxa" w:w="14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7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Position vs a TL1A×IL-23 bispecific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Anti-TNF (+biosimilar)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infliximab, adalimumab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approved, cheap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payer-preferred 1L on cost; the price floor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Anti-integrin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vedolizumab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gut-selective, clean safety; strong in UC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IL-12/23 · IL-23p19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ustekinumab; risankizumab, mirikizumab, guselkumab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efficacy/safety benchmark the bispecific must beat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JAK1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upadacitinib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UC+CD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high efficacy but class black-box (infection/MACE/VTE/malignancy)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S1P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etrasimod, ozanimod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approved UC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convenient oral; modest efficacy, crowded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TYK2 (oral)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deucravacitinib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emerging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without the JAK box — a rising convenience threat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Other oral / novel</w:t>
            </w:r>
          </w:p>
        </w:tc>
        <w:tc>
          <w:tcPr>
            <w:tcW w:type="dxa" w:w="20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obefazimod</w:t>
            </w:r>
          </w:p>
        </w:tc>
        <w:tc>
          <w:tcPr>
            <w:tcW w:type="dxa" w:w="14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late-stage</w:t>
            </w:r>
          </w:p>
        </w:tc>
        <w:tc>
          <w:tcPr>
            <w:tcW w:type="dxa" w:w="37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oral entrants reset the convenience bar</w:t>
            </w:r>
          </w:p>
        </w:tc>
      </w:tr>
    </w:tbl>
    <w:p>
      <w:pPr>
        <w:spacing w:after="120"/>
      </w:pPr>
      <w:r>
        <w:rPr>
          <w:b/>
          <w:bCs/>
        </w:rPr>
        <w:t xml:space="preserve">Why this matters. </w:t>
      </w:r>
      <w:r>
        <w:t xml:space="preserve">Oral small molecules (JAK, S1P, TYK2) and cheap anti-TNF biosimilars mean a quarterly subcutaneous bispecific must justify itself on </w:t>
      </w:r>
      <w:r>
        <w:rPr>
          <w:b/>
          <w:bCs/>
        </w:rPr>
        <w:t xml:space="preserve">efficacy and durability</w:t>
      </w:r>
      <w:r>
        <w:t xml:space="preserve">, not convenience alone — a daily pill is hard to beat on patient preference.</w:t>
      </w:r>
      <w:r>
        <w:t xml:space="preserve"/>
      </w:r>
      <w:r>
        <w:t xml:space="preserve"> The strategic read for the dual-blockade thesis: its defensible claim is </w:t>
      </w:r>
      <w:r>
        <w:rPr>
          <w:b/>
          <w:bCs/>
        </w:rPr>
        <w:t xml:space="preserve">depth and durability of remission</w:t>
      </w:r>
      <w:r>
        <w:t xml:space="preserve"> an oral cannot match, in the refractory population where orals and single-pathway biologics have failed. Adjacent novel targets (e.g., next-generation alarmin and stromal pathways) are emerging but earlier; none yet displaces the TL1A+IL-23 rationale, though they belong on the watch list as the field expands.</w:t>
      </w:r>
    </w:p>
    <w:p>
      <w:pPr>
        <w:spacing w:after="120"/>
      </w:pPr>
      <w:r>
        <w:rPr>
          <w:b/>
          <w:bCs/>
        </w:rPr>
        <w:t xml:space="preserve">Sizing the prize and the threat (TD Cowen). </w:t>
      </w:r>
      <w:r>
        <w:t xml:space="preserve">IBD therapeutics are ~$30.7B (2024) growing to ~$41.9B (2030), with AbbVie extending from ~31% to ~44% share via Rinvoq + Skyrizi. Rinvoq (oral JAK) alone is projected at ~$3.7B in IBD by 2027, already capturing ~50% of new Crohn's and ~33% of new UC starts — the oral is taking major share now, which sets the efficacy/durability bar a quarterly injectable must beat.</w:t>
      </w:r>
    </w:p>
    <w:p>
      <w:pPr>
        <w:spacing w:after="120"/>
      </w:pPr>
      <w:r>
        <w:rPr>
          <w:b/>
          <w:bCs/>
        </w:rPr>
        <w:t xml:space="preserve">Beyond IBD. </w:t>
      </w:r>
      <w:r>
        <w:t xml:space="preserve">The mechanism is not IBD-only: Merck has moved tulisokibart into </w:t>
      </w:r>
      <w:hyperlink w:history="1" r:id="rIdl-hvxzqybrpx_nzjtdias">
        <w:r>
          <w:rPr>
            <w:rStyle w:val="Hyperlink"/>
          </w:rPr>
          <w:t xml:space="preserve">Phase 2b in hidradenitis suppurativa, axial spondyloarthritis and rheumatoid arthritis</w:t>
        </w:r>
      </w:hyperlink>
      <w:r>
        <w:t xml:space="preserve">, and IL-23p19 agents are already approved in psoriasis and psoriatic arthritis. A TL1A×IL-23 asset therefore carries label-expansion optionality that widens its addressable market — and its platform value — beyond the IBD numbers above.</w:t>
      </w:r>
    </w:p>
    <w:p>
      <w:pPr>
        <w:pStyle w:val="Heading1"/>
      </w:pPr>
      <w:r>
        <w:t xml:space="preserve">6 · Safety &amp; immunogenicity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IL-23p19 arm: </w:t>
      </w:r>
      <w:r>
        <w:t xml:space="preserve">the approved class (risankizumab, mirikizumab, guselkumab) shows low serious-infection rates and no malignancy signal — cleaner than anti-TNF or JAK.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Immunogenicity is the bispecific battleground. </w:t>
      </w:r>
      <w:r>
        <w:t xml:space="preserve">Spyre management has publicly characterized first-generation TL1A bispecifics as showing unfavorable immunogenicity, while XmAb942 (anti-TL1A) reports no anti-drug antibodies to date. Clean immunogenicity is therefore both a key technical risk for a bispecific and a concrete, named differentiation target.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TL1A arm: </w:t>
      </w:r>
      <w:r>
        <w:t xml:space="preserve">through </w:t>
      </w:r>
      <w:hyperlink w:history="1" r:id="rIduxgmgkblcphii0u3s6m3q">
        <w:r>
          <w:rPr>
            <w:rStyle w:val="Hyperlink"/>
          </w:rPr>
          <w:t xml:space="preserve">50 weeks in ARTEMIS-UC</w:t>
        </w:r>
      </w:hyperlink>
      <w:r>
        <w:t xml:space="preserve">, tulisokibart showed no new safety signals — infections upper-respiratory-predominant (37%/46% at Wk50), no serious infections, no infection discontinuations.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The open question: </w:t>
      </w:r>
      <w:r>
        <w:t xml:space="preserve">whether simultaneous TL1A + IL-23 blockade raises infection risk beyond either alone — no human dual-blockade dataset exists yet; it is a primary focus of a partner's diligence.</w:t>
      </w:r>
    </w:p>
    <w:p>
      <w:pPr>
        <w:pStyle w:val="Heading1"/>
      </w:pPr>
      <w:r>
        <w:t xml:space="preserve">7 · Catalysts &amp; forecasts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0"/>
        <w:gridCol w:w="1350"/>
        <w:gridCol w:w="1550"/>
        <w:gridCol w:w="3510"/>
      </w:tblGrid>
      <w:tr>
        <w:trPr>
          <w:tblHeader/>
        </w:trPr>
        <w:tc>
          <w:tcPr>
            <w:tcW w:type="dxa" w:w="29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Window</w:t>
            </w:r>
          </w:p>
        </w:tc>
        <w:tc>
          <w:tcPr>
            <w:tcW w:type="dxa" w:w="15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35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tests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SPY002 SKYLINE-UC Part A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~mid-2026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resets the monospecific induction bar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topline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~Q4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 positive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confirms the Ph2 signal at Ph3 scale; sets the bar a bispecific must beat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RO7837195 / MT-251 bispecific reads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2026-2027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data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first direct tests of additive efficacy</w:t>
            </w:r>
          </w:p>
        </w:tc>
      </w:tr>
      <w:tr>
        <w:trPr>
          <w:tblHeader w:val="false"/>
        </w:trPr>
        <w:tc>
          <w:tcPr>
            <w:tcW w:type="dxa" w:w="29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ABBV-701 Phase 1 readout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~late 2026</w:t>
            </w:r>
          </w:p>
        </w:tc>
        <w:tc>
          <w:tcPr>
            <w:tcW w:type="dxa" w:w="15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70-80% clean</w:t>
            </w:r>
          </w:p>
        </w:tc>
        <w:tc>
          <w:tcPr>
            <w:tcW w:type="dxa" w:w="35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de-risks the anti-TL1A arm</w:t>
            </w:r>
          </w:p>
        </w:tc>
      </w:tr>
    </w:tbl>
    <w:p>
      <w:pPr>
        <w:spacing w:after="120"/>
      </w:pPr>
      <w:r>
        <w:rPr>
          <w:b/>
          <w:bCs/>
        </w:rPr>
        <w:t xml:space="preserve">ATLAS-UC ~70%, decomposed: </w:t>
      </w:r>
      <w:r>
        <w:t xml:space="preserve">~50% base for a Ph2-positive program confirming at Ph3; +20 (clear Ph2 effect, established mechanism); +15 (Merck execution + biomarker enrichment); −10 (Ph2→Ph3 effect-size shrinkage in IBD); −5 (biomarker-stratified ~1,000-patient operational complexity).</w:t>
      </w:r>
    </w:p>
    <w:p>
      <w:pPr>
        <w:spacing w:after="120"/>
      </w:pPr>
      <w:r>
        <w:rPr>
          <w:b/>
          <w:bCs/>
        </w:rPr>
        <w:t xml:space="preserve">Regulatory read. </w:t>
      </w:r>
      <w:r>
        <w:t xml:space="preserve">The path is well-mapped, not novel: the FDA accepts modified-Mayo clinical remission plus endoscopic improvement in UC (and CDAI / endoscopic endpoints in CD), placebo remission runs ~10-13%, and the class already has approvals across IL-23p19, JAK and S1P. A bispecific's gating risk is therefore comparative efficacy and the dual-blockade safety package — not regulatory uncertainty about the endpoint or the pathway.</w:t>
      </w:r>
    </w:p>
    <w:p>
      <w:pPr>
        <w:pStyle w:val="Heading1"/>
      </w:pPr>
      <w:r>
        <w:t xml:space="preserve">8 · Payer differentiation</w:t>
      </w:r>
    </w:p>
    <w:p>
      <w:pPr>
        <w:spacing w:after="120"/>
      </w:pPr>
      <w:r>
        <w:t xml:space="preserve">Payers set realized value; they decide which agent is reimbursed and at what step. What moves a payer in IBD: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701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Lever</w:t>
            </w:r>
          </w:p>
        </w:tc>
        <w:tc>
          <w:tcPr>
            <w:tcW w:type="dxa" w:w="701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payers reward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Step therapy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anti-TNF biosimilar is required first on cost; a new agent must clear that hurdle and justify a premium over a generic-priced incumbent.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Efficacy bar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minimum ~&gt;30-35% clinical remission vs placebo; preferred placement needs &gt;50% at Week 52 with mucosal healing — i.e., durable deep remission, not just induction.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Comparative effectiveness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benchmarked against risankizumab/mirikizumab (IL-23p19) and upadacitinib; a bispecific must show a remission or durability edge to win formulary preference.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Dosing &amp; site of care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SC Q8-Q12W with a prefilled pen and home self-injection lowers total cost vs IV infusion (site-of-care fees) — a real economic differentiator.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Line placement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value is highest if the agent earns earlier placement; payers gate this on head-to-head or strong indirect-comparison evidence.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Access consolidation</w:t>
            </w:r>
          </w:p>
        </w:tc>
        <w:tc>
          <w:tcPr>
            <w:tcW w:type="dxa" w:w="701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bispecific collapses dual-mechanism control into one approval, one reimbursement, one step-therapy hurdle and one co-pay — removing the formulary friction of getting two separate biologics covered and co-administered. This is a core part of the bispecific value case, alongside efficacy.</w:t>
            </w:r>
          </w:p>
        </w:tc>
      </w:tr>
    </w:tbl>
    <w:p>
      <w:pPr>
        <w:spacing w:after="120"/>
      </w:pPr>
      <w:r>
        <w:rPr>
          <w:b/>
          <w:bCs/>
        </w:rPr>
        <w:t xml:space="preserve">Price anchors (Wedbush Rx tracker). </w:t>
      </w:r>
      <w:r>
        <w:t xml:space="preserve">The IL-23 class lists at roughly $7.5-10k/month — Skyrizi ~$7,488, Tremfya ~$7,646, Stelara ~$8,700, Omvoh ~$9,946; S1P orals are cheaper (etrasimod ~$6,123, ozanimod ~$9,609), anti-TNF ~$6-7k (Humira ~$7,271). A new agent is priced into this band and judged on net cost after rebates. A Spyre patient survey found a ~60/40 preference for a quarterly injectable over a once-daily oral in IBD — a data point that supports the SC-bispecific value case on both cost-of-care and patient preference.</w:t>
      </w:r>
    </w:p>
    <w:p>
      <w:pPr>
        <w:spacing w:after="120"/>
      </w:pPr>
      <w:r>
        <w:rPr>
          <w:b/>
          <w:bCs/>
        </w:rPr>
        <w:t xml:space="preserve">Implication. </w:t>
      </w:r>
      <w:r>
        <w:t xml:space="preserve">A TL1A×IL-23 bispecific's payer case is built on durable deep remission in the refractory population plus an SC convenience/cost advantage over IV incumbents — and it must answer the comparison to cheap anti-TNF biosimilars and convenient orals, not only to other TL1A assets.</w:t>
      </w:r>
      <w:r>
        <w:t xml:space="preserve"/>
      </w:r>
    </w:p>
    <w:p>
      <w:pPr>
        <w:pStyle w:val="Heading1"/>
      </w:pPr>
      <w:r>
        <w:t xml:space="preserve">9 · Value &amp; deal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350"/>
        <w:gridCol w:w="1300"/>
        <w:gridCol w:w="1300"/>
        <w:gridCol w:w="3060"/>
      </w:tblGrid>
      <w:tr>
        <w:trPr>
          <w:tblHeader/>
        </w:trPr>
        <w:tc>
          <w:tcPr>
            <w:tcW w:type="dxa" w:w="2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Deal</w:t>
            </w:r>
          </w:p>
        </w:tc>
        <w:tc>
          <w:tcPr>
            <w:tcW w:type="dxa" w:w="135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Upfront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30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Merck-Prometheus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$10.8B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 + Dx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*acquisition; ceiling for de-risked anti-TL1A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Roche-Telavant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$7.1B*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$7.25B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pre-Ph3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*acquisition; US+Japan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Teva-Sanofi (duvakitug)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$500M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~$1.5B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Ph2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50/50 cost &amp; profit, royalties elsewhere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Sanofi-Earendil (HXN-1003)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$125M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~$1.8B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TL1A×IL-23 bispecific; broader Sanofi-Earendil collab ~$2.56B</w:t>
            </w:r>
          </w:p>
        </w:tc>
      </w:tr>
      <w:tr>
        <w:trPr>
          <w:tblHeader w:val="false"/>
        </w:trPr>
        <w:tc>
          <w:tcPr>
            <w:tcW w:type="dxa" w:w="2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BI-Simcere (SIM0709)</w:t>
            </w:r>
          </w:p>
        </w:tc>
        <w:tc>
          <w:tcPr>
            <w:tcW w:type="dxa" w:w="135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€42M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~€1.06B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preclinical</w:t>
            </w:r>
          </w:p>
        </w:tc>
        <w:tc>
          <w:tcPr>
            <w:tcW w:type="dxa" w:w="30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beat the monotherapy combination preclinically; BI ex-Greater China</w:t>
            </w:r>
          </w:p>
        </w:tc>
      </w:tr>
    </w:tbl>
    <w:p>
      <w:pPr>
        <w:spacing w:after="120"/>
      </w:pPr>
      <w:r>
        <w:t xml:space="preserve">These anchor a TL1A/IL-23 asset's value.</w:t>
      </w:r>
      <w:r>
        <w:t xml:space="preserve"/>
      </w:r>
      <w:r>
        <w:t xml:space="preserve"/>
      </w:r>
      <w:r>
        <w:t xml:space="preserve"> Value is not a single number — the same first-efficacy event earns very different multiples by the surrounding evidence: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000"/>
        <w:gridCol w:w="2960"/>
      </w:tblGrid>
      <w:tr>
        <w:trPr>
          <w:tblHeader/>
        </w:trPr>
        <w:tc>
          <w:tcPr>
            <w:tcW w:type="dxa" w:w="44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Path (given first additive-efficacy signal)</w:t>
            </w:r>
          </w:p>
        </w:tc>
        <w:tc>
          <w:tcPr>
            <w:tcW w:type="dxa" w:w="2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Range</w:t>
            </w:r>
          </w:p>
        </w:tc>
        <w:tc>
          <w:tcPr>
            <w:tcW w:type="dxa" w:w="29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Driver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best-in-class SC + clean safety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$8-12B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efficacy and convenience/safety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infection or immunogenicity signal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$3-6B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discount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+ CMC / manufacturing problems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$2-5B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supply risk caps the multiple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 additive efficacy</w:t>
            </w:r>
          </w:p>
        </w:tc>
        <w:tc>
          <w:tcPr>
            <w:tcW w:type="dxa" w:w="2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B91C1C"/>
              </w:rPr>
              <w:t xml:space="preserve">&lt; $1B</w:t>
            </w:r>
          </w:p>
        </w:tc>
        <w:tc>
          <w:tcPr>
            <w:tcW w:type="dxa" w:w="29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reverts to a crowded monospecific-adjacent asset</w:t>
            </w:r>
          </w:p>
        </w:tc>
      </w:tr>
    </w:tbl>
    <w:p>
      <w:pPr>
        <w:pStyle w:val="Heading1"/>
      </w:pPr>
      <w:r>
        <w:t xml:space="preserve">10 · Competitive geography</w:t>
      </w:r>
    </w:p>
    <w:p>
      <w:pPr>
        <w:spacing w:after="120"/>
      </w:pPr>
      <w:r>
        <w:t xml:space="preserve">The TL1A×IL-23 bispecific field is disproportionately China-originated, and a </w:t>
      </w:r>
      <w:hyperlink w:history="1" r:id="rIdk5kmhvo7quxkbkpm5r9ef">
        <w:r>
          <w:rPr>
            <w:rStyle w:val="Hyperlink"/>
          </w:rPr>
          <w:t xml:space="preserve">string of 2025-26 deals has moved it from conceptual to deal-validated preclinical scarcity</w:t>
        </w:r>
      </w:hyperlink>
      <w:r>
        <w:t xml:space="preserve">: Simcere (SIM0709 → Boehringer Ingelheim, up to €1.058B, with BI citing preclinical superiority over the monotherapy combination), Qyuns (CLD-423, in-licensed by US NewCo Caldera and now in Phase 1), Earendil (HXN-1003 → Sanofi, up to ~$1.8B), LaNova (LQ080 → Zymeworks ex-China), plus NovaMab, Elpiscience and Biocad. The recurring pattern is a Western pharma — or a US NewCo — licensing-in a China-originated bispecific; Western-quality data and clean IP convert the molecule into a premium transaction. The BD window is open now and likely tightens once the first human efficacy signals (RO7837195, CLD-423, MT-251) read out.</w:t>
      </w:r>
    </w:p>
    <w:p>
      <w:pPr>
        <w:pStyle w:val="Heading1"/>
      </w:pPr>
      <w:r>
        <w:t xml:space="preserve">11 ·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300"/>
        <w:gridCol w:w="3380"/>
      </w:tblGrid>
      <w:tr>
        <w:trPr>
          <w:tblHeader/>
        </w:trPr>
        <w:tc>
          <w:tcPr>
            <w:tcW w:type="dxa" w:w="46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Scenario (ATLAS-UC × first bispecific signal)</w:t>
            </w:r>
          </w:p>
        </w:tc>
        <w:tc>
          <w:tcPr>
            <w:tcW w:type="dxa" w:w="13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  <w:tc>
          <w:tcPr>
            <w:tcW w:type="dxa" w:w="338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Implication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 — both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~45%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bispecific premium rises; partnering urgency increases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 — ATLAS hits, bispecific disappoints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~25%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monospecific dominance; bispecific thesis weakened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 — ATLAS misses, bispecific positive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~10%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re-rating toward dual blockade; largest upside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 — both disappoint</w:t>
            </w:r>
          </w:p>
        </w:tc>
        <w:tc>
          <w:tcPr>
            <w:tcW w:type="dxa" w:w="13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~20%</w:t>
            </w:r>
          </w:p>
        </w:tc>
        <w:tc>
          <w:tcPr>
            <w:tcW w:type="dxa" w:w="338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class-wide doubt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single" w:color="B91C1C" w:sz="18"/>
              <w:bottom w:val="none"/>
              <w:right w:val="none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30"/>
            </w:tcMar>
          </w:tcPr>
          <w:p>
            <w:r>
              <w:rPr>
                <w:b/>
                <w:bCs/>
              </w:rPr>
              <w:t xml:space="preserve">The value-destroying case. </w:t>
            </w:r>
            <w:r>
              <w:t xml:space="preserve">If the first bispecific reads show no additive efficacy and ATLAS-UC succeeds (tulisokibart becomes standard of care), a bispecific that does not beat a single antibody has no buyer, and a preclinical entrant's value approaches zero. The defense is a clinical design that reads additive efficacy early and cheaply (a focused Ph1b), so a program can stop or pivot before committing Phase 2 capital.</w:t>
            </w:r>
          </w:p>
        </w:tc>
      </w:tr>
    </w:tbl>
    <w:p>
      <w:pPr>
        <w:pStyle w:val="Heading1"/>
      </w:pPr>
      <w:r>
        <w:t xml:space="preserve">12 · Diligence checklist (asset-level data)</w:t>
      </w:r>
    </w:p>
    <w:p>
      <w:pPr>
        <w:spacing w:after="120"/>
      </w:pPr>
      <w:r>
        <w:t xml:space="preserve">Answered with a program's proprietary preclinical and CMC data, not public intelligence: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66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 strong answer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NHP PK/PD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dual-arm engagement additive in primate; half-life supporting ~Q12W SC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Preclinical superiority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beats each monotherapy AND the free combination of the two in colitis models (the bar SIM0709 set); simultaneous dual TL1A + IL-23 binding demonstrated on one molecule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Fibrosis-relevant data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fibroblast-activation / collagen / histology (or an imaging proxy) supporting the CD stricture-differentiation claim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Tox / CRS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clean GI and lymphoid histology; no cytokine-release signal from simultaneous engagement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Immunogenicity (ADA)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engineered-bispecific ADA rate vs a low-ADA mAb; PK/efficacy impact modeled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CMC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DNA-to-tox timeline; titer (g/L); CDMO vs in-house; failure modes de-risked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IP / FTO</w:t>
            </w:r>
          </w:p>
        </w:tc>
        <w:tc>
          <w:tcPr>
            <w:tcW w:type="dxa" w:w="66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composition-of-matter filed; FTO cleared vs the earlier TL1A estate</w:t>
            </w:r>
          </w:p>
        </w:tc>
      </w:tr>
    </w:tbl>
    <w:p>
      <w:pPr>
        <w:pStyle w:val="Heading1"/>
      </w:pPr>
      <w:r>
        <w:t xml:space="preserve">13 · Standing predictions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00"/>
        <w:gridCol w:w="1500"/>
        <w:gridCol w:w="1760"/>
      </w:tblGrid>
      <w:tr>
        <w:trPr>
          <w:tblHeader/>
        </w:trPr>
        <w:tc>
          <w:tcPr>
            <w:tcW w:type="dxa" w:w="46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Prediction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Estimate</w:t>
            </w:r>
          </w:p>
        </w:tc>
        <w:tc>
          <w:tcPr>
            <w:tcW w:type="dxa" w:w="17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Resolves (range)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Tulisokibart ATLAS-UC meets its primary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65-75%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Q4 2026 – Q1 2027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TL1A×IL-23p19 bispecific human efficacy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outcome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55-65%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H2 2027 – H1 2028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First p19-bispecific deal: total value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asset value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$1.5-3B (≥$1.5B ~70%)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H2 2027 – 2028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major licenses-in a China-origin bispecific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deal</w:t>
            </w:r>
          </w:p>
        </w:tc>
        <w:tc>
          <w:tcPr>
            <w:tcW w:type="dxa" w:w="15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50-60%</w:t>
            </w:r>
          </w:p>
        </w:tc>
        <w:tc>
          <w:tcPr>
            <w:tcW w:type="dxa" w:w="17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H2 2027 – H1 2028</w:t>
            </w:r>
          </w:p>
        </w:tc>
      </w:tr>
    </w:tbl>
    <w:p>
      <w:pPr>
        <w:pStyle w:val="Heading1"/>
      </w:pPr>
      <w:r>
        <w:t xml:space="preserve">What would change this view</w:t>
      </w:r>
    </w:p>
    <w:p>
      <w:pPr>
        <w:spacing w:after="120"/>
      </w:pPr>
      <w:r>
        <w:t xml:space="preserve">The test of an intelligence brief is not only what it claims, but what would falsify each claim. The load-bearing conclusions and their disconfirming signals: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If we see…</w:t>
            </w:r>
          </w:p>
        </w:tc>
        <w:tc>
          <w:tcPr>
            <w:tcW w:type="dxa" w:w="5360"/>
            <w:tcBorders>
              <w:top w:val="single" w:color="1A3F8F" w:sz="1"/>
              <w:left w:val="single" w:color="1A3F8F" w:sz="1"/>
              <w:bottom w:val="single" w:color="1A3F8F" w:sz="1"/>
              <w:right w:val="single" w:color="1A3F8F" w:sz="1"/>
            </w:tcBorders>
            <w:shd w:fill="1A3F8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…the view changes to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 first bispecific readout with no additive efficacy over the best monospecific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dual-mechanism thesis fails; bispecific value reverts to &lt; $1B (Section 11)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 infection or immunogenicity signal under dual blockade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safety discount; the deal range compresses toward $3-6B (Section 9)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ATLAS-UC and the early bispecific reads both positive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FFF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premium and partnering urgency rise (Scenario A)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an oral (JAK / TYK2) reaching durable deep remission at the bispecific's bar</w:t>
            </w:r>
          </w:p>
        </w:tc>
        <w:tc>
          <w:tcPr>
            <w:tcW w:type="dxa" w:w="5360"/>
            <w:tcBorders>
              <w:top w:val="single" w:color="D6DEEA" w:sz="1"/>
              <w:left w:val="single" w:color="D6DEEA" w:sz="1"/>
              <w:bottom w:val="single" w:color="D6DEEA" w:sz="1"/>
              <w:right w:val="single" w:color="D6DEEA" w:sz="1"/>
            </w:tcBorders>
            <w:shd w:fill="F5F8FF" w:val="clear"/>
            <w:tcMar>
              <w:top w:type="dxa" w:w="46"/>
              <w:left w:type="dxa" w:w="94"/>
              <w:bottom w:type="dxa" w:w="46"/>
              <w:right w:type="dxa" w:w="94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4274A"/>
                <w:sz w:val="17"/>
                <w:szCs w:val="17"/>
              </w:rPr>
              <w:t xml:space="preserve">the injectable's differentiation narrows; convenience advantage shifts to orals</w:t>
            </w:r>
          </w:p>
        </w:tc>
      </w:tr>
    </w:tbl>
    <w:p>
      <w:pPr>
        <w:spacing w:after="120"/>
      </w:pPr>
      <w:r>
        <w:rPr>
          <w:i/>
          <w:iCs/>
        </w:rPr>
        <w:t xml:space="preserve">Every quantitative claim here is footnoted to its primary source. Where a claim is a hypothesis rather than an established fact — the OSM selection-marker direction, the 30-40% dual-blockade ceiling, the additive-efficacy premise itself — it is labelled as such, not asserted. That is the standard this brief holds itself to: a claim you can answer, source, rate for confidence, and say what would change.</w:t>
      </w:r>
    </w:p>
    <w:sectPr>
      <w:headerReference w:type="default" r:id="rId7"/>
      <w:footerReference w:type="default" r:id="rId8"/>
      <w:pgSz w:w="12240" w:h="15840" w:orient="portrait"/>
      <w:pgMar w:top="1180" w:right="1180" w:bottom="11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3"/>
        <w:szCs w:val="13"/>
      </w:rPr>
      <w:t xml:space="preserve">Source-traced · footnotes link to the primary source · Page </w:t>
    </w:r>
    <w:r>
      <w:rPr>
        <w:color w:val="64748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3"/>
        <w:szCs w:val="13"/>
      </w:rPr>
      <w:t xml:space="preserve"> of </w:t>
    </w:r>
    <w:r>
      <w:rPr>
        <w:color w:val="64748B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A3F8F"/>
        <w:sz w:val="14"/>
        <w:szCs w:val="14"/>
      </w:rPr>
      <w:t xml:space="preserve">◆ THE MERIDIAN</w:t>
    </w:r>
    <w:r>
      <w:rPr>
        <w:color w:val="64748B"/>
        <w:sz w:val="14"/>
        <w:szCs w:val="14"/>
      </w:rPr>
      <w:t xml:space="preserve">  ·  Area Intelligence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25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70" w:hanging="2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DEEA" w:sz="4" w:space="3"/>
      </w:pBdr>
      <w:spacing w:after="85" w:before="200"/>
      <w:outlineLvl w:val="0"/>
    </w:pPr>
    <w:rPr>
      <w:rFonts w:ascii="Arial" w:cs="Arial" w:eastAsia="Arial" w:hAnsi="Arial"/>
      <w:b/>
      <w:bCs/>
      <w:color w:val="1A3F8F"/>
      <w:sz w:val="23"/>
      <w:szCs w:val="23"/>
    </w:rPr>
  </w:style>
  <w:style w:type="paragraph" w:styleId="Heading2">
    <w:name w:val="Heading 2"/>
    <w:basedOn w:val="Normal"/>
    <w:next w:val="Normal"/>
    <w:qFormat/>
    <w:pPr>
      <w:spacing w:after="50" w:before="120"/>
      <w:outlineLvl w:val="1"/>
    </w:pPr>
    <w:rPr>
      <w:rFonts w:ascii="Arial" w:cs="Arial" w:eastAsia="Arial" w:hAnsi="Arial"/>
      <w:b/>
      <w:bCs/>
      <w:color w:val="14274A"/>
      <w:sz w:val="18"/>
      <w:szCs w:val="18"/>
    </w:rPr>
  </w:style>
  <w:style w:type="paragraph" w:styleId="Hyperlink">
    <w:name w:val="Hyperlink"/>
    <w:basedOn w:val="Normal"/>
    <w:rPr>
      <w:color w:val="1D4ED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amsyvjm_rznouzucksqgy" Type="http://schemas.openxmlformats.org/officeDocument/2006/relationships/hyperlink" Target="https://www.fiercebiotech.com/biotech/sanofi-pens-18b-deal-2-bispecific-antibodies-aimed-autoimmune-immunology" TargetMode="External"/><Relationship Id="rIdblmckvfiidsh0mjmqwi8v" Type="http://schemas.openxmlformats.org/officeDocument/2006/relationships/hyperlink" Target="https://gi.org/journals-publications/ebgi/kochar_dec2024/" TargetMode="External"/><Relationship Id="rId2uhl4v74yrmltqlqvhgm2" Type="http://schemas.openxmlformats.org/officeDocument/2006/relationships/hyperlink" Target="https://www.crohnscolitisfoundation.org/what-is-ibd/facts-stats" TargetMode="External"/><Relationship Id="rIdhwuhpr4yezd1vgimh1xlu" Type="http://schemas.openxmlformats.org/officeDocument/2006/relationships/hyperlink" Target="https://pubmed.ncbi.nlm.nih.gov/39551466/" TargetMode="External"/><Relationship Id="rIdjvivthcwn2eqp6n-mgrxc" Type="http://schemas.openxmlformats.org/officeDocument/2006/relationships/hyperlink" Target="https://academic.oup.com/crohnscolitis360/article/5/4/otad051/7276322" TargetMode="External"/><Relationship Id="rIdfqqa_z6n19kb5kiglx-1s" Type="http://schemas.openxmlformats.org/officeDocument/2006/relationships/hyperlink" Target="https://www.crohnscolitisfoundation.org/what-is-ibd/facts-stats" TargetMode="External"/><Relationship Id="rIdenzycp-yojoqcn0qgbnt4" Type="http://schemas.openxmlformats.org/officeDocument/2006/relationships/hyperlink" Target="https://www.frontiersin.org/articles/10.3389/fimmu.2019.00583/full" TargetMode="External"/><Relationship Id="rIdyb6brep7t85kigc_ihbsr" Type="http://schemas.openxmlformats.org/officeDocument/2006/relationships/hyperlink" Target="https://www.nejm.org/doi/abs/10.1056/NEJMoa2314076" TargetMode="External"/><Relationship Id="rIdstxbziffjcwzvtytyfrvg" Type="http://schemas.openxmlformats.org/officeDocument/2006/relationships/hyperlink" Target="https://www.nejm.org/doi/full/10.1056/NEJMoa2207940" TargetMode="External"/><Relationship Id="rIdu-g80q4a1whoxkwx-yxqe" Type="http://schemas.openxmlformats.org/officeDocument/2006/relationships/hyperlink" Target="https://clinicaltrials.gov/study/NCT06979336" TargetMode="External"/><Relationship Id="rIdvrx7d_soasy8xaeotulhw" Type="http://schemas.openxmlformats.org/officeDocument/2006/relationships/hyperlink" Target="https://www.thelancet.com/journals/langas/article/PIIS2468-1253(25)00129-3/abstract" TargetMode="External"/><Relationship Id="rId1-fpkb79nz78x2q_kgxkm" Type="http://schemas.openxmlformats.org/officeDocument/2006/relationships/hyperlink" Target="https://pubmed.ncbi.nlm.nih.gov/38445187/" TargetMode="External"/><Relationship Id="rIdgyn5c5w910d1jqf4kyyft" Type="http://schemas.openxmlformats.org/officeDocument/2006/relationships/hyperlink" Target="https://www.frontiersin.org/journals/gastroenterology/articles/10.3389/fgstr.2026.1747118/full" TargetMode="External"/><Relationship Id="rIdl-hvxzqybrpx_nzjtdias" Type="http://schemas.openxmlformats.org/officeDocument/2006/relationships/hyperlink" Target="https://www.merck.com/news/merck-expands-tulisokibart-clinical-development-program-with-initiation-of-phase-2b-trials-in-three-additional-immune-mediated-inflammatory-diseases/" TargetMode="External"/><Relationship Id="rIduxgmgkblcphii0u3s6m3q" Type="http://schemas.openxmlformats.org/officeDocument/2006/relationships/hyperlink" Target="https://academic.oup.com/ecco-jcc/article/19/Supplement_1/i1158/7967681" TargetMode="External"/><Relationship Id="rIdk5kmhvo7quxkbkpm5r9ef" Type="http://schemas.openxmlformats.org/officeDocument/2006/relationships/hyperlink" Target="https://www.fiercebiotech.com/biotech/boehringer-pens-eu105b-deal-simceres-preclinical-ibd-bispecific" TargetMode="External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2026-06-09T14:25:30.364Z</dcterms:created>
  <dcterms:modified xsi:type="dcterms:W3CDTF">2026-06-09T14:25:30.365Z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