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          June 9,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6"/>
          <w:szCs w:val="26"/>
        </w:rPr>
        <w:t xml:space="preserve">  FcRn × Albumin in autoimmune disease (gMG / ITP / CIDP)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~60-100K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US gMG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~85%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AChR-antibody positive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68% vs 30%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efgartigimod MG-ADL responder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approved FcRn inhibitors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weekly→monthly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the dosing gap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FcRn inhibition is a validated, fast-growing autoimmune class: blocking the neonatal Fc receptor accelerates clearance of pathogenic IgG autoantibodies, and three agents are approved — </w:t>
      </w:r>
      <w:r>
        <w:rPr>
          <w:b/>
          <w:bCs/>
        </w:rPr>
        <w:t xml:space="preserve">efgartigimod</w:t>
      </w:r>
      <w:r>
        <w:t xml:space="preserve"> (argenx), </w:t>
      </w:r>
      <w:r>
        <w:rPr>
          <w:b/>
          <w:bCs/>
        </w:rPr>
        <w:t xml:space="preserve">rozanolixizumab</w:t>
      </w:r>
      <w:r>
        <w:t xml:space="preserve"> (UCB) and </w:t>
      </w:r>
      <w:r>
        <w:rPr>
          <w:b/>
          <w:bCs/>
        </w:rPr>
        <w:t xml:space="preserve">nipocalimab</w:t>
      </w:r>
      <w:r>
        <w:t xml:space="preserve"> (J&amp;J) — first in generalized myasthenia gravis and expanding across CIDP, ITP, pemphigus and warm hemolytic anemia. Efficacy across the class is broadly similar; the unsolved problem is </w:t>
      </w:r>
      <w:r>
        <w:rPr>
          <w:b/>
          <w:bCs/>
        </w:rPr>
        <w:t xml:space="preserve">dosing burden</w:t>
      </w:r>
      <w:r>
        <w:t xml:space="preserve"> — every approved agent needs weekly cycles or regular infusions. The differentiation thesis is a half-life-extended FcRn inhibitor (e.g., an </w:t>
      </w:r>
      <w:r>
        <w:rPr>
          <w:b/>
          <w:bCs/>
        </w:rPr>
        <w:t xml:space="preserve">albumin-binding arm</w:t>
      </w:r>
      <w:r>
        <w:t xml:space="preserve">) that delivers the same autoantibody reduction with monthly-or-longer dosing. No such agent is approved; this is the class's clearest open lane.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State of validation: </w:t>
            </w:r>
            <w:r>
              <w:t xml:space="preserve">FcRn blockade is approved and effective across multiple autoantibody diseases; efficacy is largely commoditized. The open differentiation is convenience — an FcRn inhibitor with built-in half-life extension for infrequent dosing — plus breadth of indication. The opportunity is 'same efficacy, far fewer doses, more diseases.'</w:t>
            </w:r>
          </w:p>
        </w:tc>
      </w:tr>
    </w:tbl>
    <w:p>
      <w:pPr>
        <w:pStyle w:val="Heading1"/>
      </w:pPr>
      <w:r>
        <w:t xml:space="preserve">What determines value here</w:t>
      </w:r>
    </w:p>
    <w:p>
      <w:pPr>
        <w:spacing w:after="120"/>
      </w:pPr>
      <w:r>
        <w:t xml:space="preserve">The axes on which an FcRn asset is judged: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IgG reduction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mechanistic readout — depth and consistency of IgG/autoantibody lowering; all approved agents achieve deep reduction, so this is table stakes.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Clinical efficacy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disease-specific response (MG-ADL in gMG, platelet count in ITP, etc.); the bar is efgartigimod's ~68% MG-ADL responder rate — already matched across the class.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 convenience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decisive differentiator — moving from weekly cycles to monthly-or-longer dosing in a chronic disease is the class's biggest unmet need (the albumin-arm thesis).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Indication breadth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label spanning gMG, CIDP, ITP, pemphigus, wAIHA and beyond multiplies the addressable market; nipocalimab's expansion strategy is the template.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Safety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FcRn blockade lowers all IgG, raising infection and (with some agents) albumin/lipid effects; a clean profile at infrequent dosing is required.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Competitive set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target-space (other FcRn inhibitors) and mechanism-space (complement inhibitors, B-cell/plasma-cell therapies) competing for the same AChR+ population.</w:t>
            </w:r>
          </w:p>
        </w:tc>
      </w:tr>
    </w:tbl>
    <w:p>
      <w:pPr>
        <w:spacing w:after="120"/>
      </w:pPr>
      <w:r>
        <w:rPr>
          <w:b/>
          <w:bCs/>
        </w:rPr>
        <w:t xml:space="preserve">Field view. </w:t>
      </w:r>
      <w:r>
        <w:t xml:space="preserve">With three approved FcRn inhibitors at similar efficacy, the class has moved from 'does it work?' to 'how convenient and how broad?' </w:t>
      </w:r>
      <w:hyperlink w:history="1" r:id="rIdfxjikgpxdglfklyxljeat">
        <w:r>
          <w:rPr>
            <w:rStyle w:val="Hyperlink"/>
          </w:rPr>
          <w:t xml:space="preserve">Efficacy is commoditized</w:t>
        </w:r>
      </w:hyperlink>
      <w:r>
        <w:t xml:space="preserve">; the live battleground is </w:t>
      </w:r>
      <w:hyperlink w:history="1" r:id="rIdbvgtshy5-ntoju403u3g2">
        <w:r>
          <w:rPr>
            <w:rStyle w:val="Hyperlink"/>
          </w:rPr>
          <w:t xml:space="preserve">dosing interval</w:t>
        </w:r>
      </w:hyperlink>
      <w:r>
        <w:t xml:space="preserve"> and indication expansion. A half-life-extended FcRn inhibitor that converts weekly dosing to monthly is the most concrete differentiation available — and the explicit rationale behind albumin-arm and other extended-half-life designs.</w:t>
      </w:r>
    </w:p>
    <w:p>
      <w:pPr>
        <w:pStyle w:val="Heading1"/>
      </w:pPr>
      <w:r>
        <w:t xml:space="preserve">1 · Patient &amp; disease (gMG and the autoantibody family)</w:t>
      </w:r>
    </w:p>
    <w:p>
      <w:pPr>
        <w:spacing w:after="120"/>
      </w:pPr>
      <w:r>
        <w:t xml:space="preserve">Generalized myasthenia gravis is the anchor indication: autoantibodies (mostly against the acetylcholine receptor, </w:t>
      </w:r>
      <w:hyperlink w:history="1" r:id="rIda6s14j4ytzwny7_o90-p7">
        <w:r>
          <w:rPr>
            <w:rStyle w:val="Hyperlink"/>
          </w:rPr>
          <w:t xml:space="preserve">AChR+ in ~85%</w:t>
        </w:r>
      </w:hyperlink>
      <w:r>
        <w:t xml:space="preserve">) attack the neuromuscular junction, causing fluctuating, fatigable weakness — drooping eyelids, double vision, difficulty swallowing, limb and respiratory weakness. FcRn inhibition lowers those autoantibodies and improves function within weeks. The same logic extends to a family of autoantibody-driven diseases — CIDP (nerve), ITP (platelets), pemphigus (skin), wAIHA (red cells), Graves' (thyroid) — which is why the class is pursued as a platform across indications rather than a single-disease drug.</w:t>
      </w:r>
    </w:p>
    <w:p>
      <w:pPr>
        <w:spacing w:after="120"/>
      </w:pPr>
      <w:r>
        <w:rPr>
          <w:b/>
          <w:bCs/>
        </w:rPr>
        <w:t xml:space="preserve">The patient, not just the disease. </w:t>
      </w:r>
      <w:r>
        <w:t xml:space="preserve">gMG patients live with unpredictable weakness, the fear of myasthenic crisis, and — on current FcRn therapy — the burden of weekly infusion or injection cycles layered on a chronic disease. 'Better,' from their side, is reliable strength and far fewer treatment visits. That dosing burden is not a minor convenience point; in a lifelong condition it is the dominant unmet need the next FcRn agent can solve, and the reason convenience — not efficacy — is where value now concentrates.</w:t>
      </w:r>
    </w:p>
    <w:p>
      <w:pPr>
        <w:spacing w:after="120"/>
      </w:pPr>
      <w:r>
        <w:rPr>
          <w:b/>
          <w:bCs/>
        </w:rPr>
        <w:t xml:space="preserve">Why an albumin arm. </w:t>
      </w:r>
      <w:r>
        <w:t xml:space="preserve">FcRn recycles both IgG and albumin at distinct binding sites. An FcRn inhibitor engineered with an albumin-binding arm hitches a ride on albumin's own long half-life, extending the drug's exposure so the same deep IgG reduction can be maintained with monthly-or-longer dosing. It is the mechanism-level answer to the class's dosing problem — efficacy parity, convenience leap.</w:t>
      </w:r>
    </w:p>
    <w:p>
      <w:pPr>
        <w:pStyle w:val="Heading1"/>
      </w:pPr>
      <w:r>
        <w:t xml:space="preserve">2 · Lines of therapy &amp; where FcRn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74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Generalized myasthenia gravis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1L symptomatic / immunosuppressive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pyridostigmine; corticosteroids; azathioprine / mycophenolate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Acute / crisis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IVIG, plasma exchange (the mechanisms FcRn inhibition mimics chronically)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Targeted (AChR+)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FcRn inhibitors (efgartigimod, rozanolixizumab, nipocalimab); complement inhibitors (eculizumab, ravulizumab, zilucoplan)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Refractory / emerging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rituximab; investigational CAR-T / BCMA cell therapies; extended-half-life FcRn inhibitors</w:t>
            </w:r>
          </w:p>
        </w:tc>
      </w:tr>
    </w:tbl>
    <w:p>
      <w:pPr>
        <w:spacing w:after="120"/>
      </w:pPr>
      <w:r>
        <w:t xml:space="preserve">FcRn inhibitors slot in as targeted therapy for AChR+ disease, competing head-to-head with complement inhibitors and displacing chronic IVIG/plasma exchange. There is no payer-mandated single sequence, so agents compete on efficacy parity, safety, dosing and breadth. Value scales with earlier use, broader labels, and — the open lever — a dosing schedule patients and payers prefer.</w:t>
      </w:r>
    </w:p>
    <w:p>
      <w:pPr>
        <w:pStyle w:val="Heading1"/>
      </w:pPr>
      <w:r>
        <w:t xml:space="preserve">3 · The scientific thesis</w:t>
      </w:r>
    </w:p>
    <w:p>
      <w:pPr>
        <w:pStyle w:val="Heading2"/>
      </w:pPr>
      <w:r>
        <w:t xml:space="preserve">The target, precisely</w:t>
      </w:r>
    </w:p>
    <w:p>
      <w:pPr>
        <w:spacing w:after="120"/>
      </w:pPr>
      <w:r>
        <w:t xml:space="preserve">FcRn (the </w:t>
      </w:r>
      <w:hyperlink w:history="1" r:id="rIdlsbhl_qk4c-j9ose5yxin">
        <w:r>
          <w:rPr>
            <w:rStyle w:val="Hyperlink"/>
          </w:rPr>
          <w:t xml:space="preserve">FCGRT gene product</w:t>
        </w:r>
      </w:hyperlink>
      <w:r>
        <w:t xml:space="preserve">) is the recycling receptor that gives IgG and albumin their long half-life. Block it, and circulating IgG — including pathogenic autoantibodies — is catabolized faster, lowering autoantibody titers by 60-80% without the broad immunosuppression of B-cell depletion. Because FcRn binds IgG and albumin at </w:t>
      </w:r>
      <w:r>
        <w:rPr>
          <w:b/>
          <w:bCs/>
        </w:rPr>
        <w:t xml:space="preserve">separate sites</w:t>
      </w:r>
      <w:r>
        <w:t xml:space="preserve">, a molecule can block the IgG-recycling function while a second arm binds albumin to extend its own half-life. </w:t>
      </w:r>
      <w:r>
        <w:rPr>
          <w:b/>
          <w:bCs/>
        </w:rPr>
        <w:t xml:space="preserve">On-target ceiling: </w:t>
      </w:r>
      <w:r>
        <w:t xml:space="preserve">lowering all IgG modestly raises infection risk, and FcRn's albumin role means some agents affect albumin/lipids — the safety envelope a high-exposure, infrequently-dosed agent must respect.</w:t>
      </w:r>
    </w:p>
    <w:p>
      <w:pPr>
        <w:pStyle w:val="Heading2"/>
      </w:pPr>
      <w:r>
        <w:t xml:space="preserve">What is proven, and the open lane</w:t>
      </w:r>
    </w:p>
    <w:p>
      <w:pPr>
        <w:spacing w:after="120"/>
      </w:pPr>
      <w:r>
        <w:t xml:space="preserve">The mechanism is decisively validated — </w:t>
      </w:r>
      <w:hyperlink w:history="1" r:id="rIdjgx0xidpdn28jcn17btg4">
        <w:r>
          <w:rPr>
            <w:rStyle w:val="Hyperlink"/>
          </w:rPr>
          <w:t xml:space="preserve">efgartigimod's 68% MG-ADL responder rate</w:t>
        </w:r>
      </w:hyperlink>
      <w:r>
        <w:t xml:space="preserve">, matched by rozanolixizumab and nipocalimab, and expanding into CIDP, ITP and wAIHA. What is not solved is convenience: every approved agent requires </w:t>
      </w:r>
      <w:hyperlink w:history="1" r:id="rIdagt0gslm9ypvnn5dhb45k">
        <w:r>
          <w:rPr>
            <w:rStyle w:val="Hyperlink"/>
          </w:rPr>
          <w:t xml:space="preserve">weekly cycles or regular infusions</w:t>
        </w:r>
      </w:hyperlink>
      <w:r>
        <w:t xml:space="preserve">. The two open levers are therefore (1) dosing — an extended-half-life design for monthly-or-longer administration — and (2) breadth — the widest autoantibody-disease label. Both are engineering/development problems on a proven target, not a target-validation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Testable conclusion. </w:t>
            </w:r>
            <w:r>
              <w:t xml:space="preserve">If an albumin-arm (or otherwise half-life-extended) FcRn inhibitor maintains the deep IgG reduction the class already achieves, it should deliver equivalent clinical efficacy at a fraction of the dosing frequency — the convenience leap that differentiates a commoditized-efficacy class. It is falsifiable: if the extended-half-life design cannot sustain deep enough IgG suppression between doses, the convenience claim fails. The differentiation is dosing and breadth, not whether FcRn blockade works.</w:t>
            </w:r>
          </w:p>
        </w:tc>
      </w:tr>
    </w:tbl>
    <w:p>
      <w:pPr>
        <w:pStyle w:val="Heading1"/>
      </w:pPr>
      <w:r>
        <w:t xml:space="preserve">4 · Competition &amp; data</w:t>
      </w:r>
    </w:p>
    <w:p>
      <w:pPr>
        <w:spacing w:after="120"/>
      </w:pPr>
      <w:r>
        <w:t xml:space="preserve">Efficacy is each agent's pivotal gMG population (not head-to-head — trials and endpoints differ).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060"/>
        <w:gridCol w:w="3100"/>
        <w:gridCol w:w="1400"/>
      </w:tblGrid>
      <w:tr>
        <w:trPr>
          <w:tblHeader/>
        </w:trPr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(originator)</w:t>
            </w:r>
          </w:p>
        </w:tc>
        <w:tc>
          <w:tcPr>
            <w:tcW w:type="dxa" w:w="1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 / format / dosing</w:t>
            </w:r>
          </w:p>
        </w:tc>
        <w:tc>
          <w:tcPr>
            <w:tcW w:type="dxa" w:w="1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gMG efficacy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efgartigimod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argenx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(gMG, CIDP)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FcRn Fc fragment; IV/SC, weekly cycles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MG-ADL resp 68%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rozanolixizumab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UCB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(gMG)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anti-FcRn mAb; SC, weekly cycles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AChR+/MuSK+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nipocalimab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Johnson &amp; Johnson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(gMG) + wAIHA filed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anti-FcRn mAb; IV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broad expansion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IMVT-1402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Immunovant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 (Graves', others)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anti-FcRn mAb;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Graves data CY2027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FcRn × Albumin (extended-half-life)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emerging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preclinical/early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FcRn + albumin arm; monthly-or-longer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F8F" w:sz="18"/>
              <w:bottom w:val="none"/>
              <w:right w:val="none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bar to beat, in numbers. </w:t>
            </w:r>
            <w:r>
              <w:t xml:space="preserve">The approved standard is </w:t>
            </w:r>
            <w:hyperlink w:history="1" r:id="rIdmepxr6oy_50wham5dbza0">
              <w:r>
                <w:rPr>
                  <w:rStyle w:val="Hyperlink"/>
                </w:rPr>
                <w:t xml:space="preserve">efgartigimod — ~68% MG-ADL responders vs ~30% placebo</w:t>
              </w:r>
            </w:hyperlink>
            <w:r>
              <w:t xml:space="preserve">, matched across the class. Because efficacy is already commoditized, the differentiating bar is not a higher response rate — it is delivering equivalent IgG reduction and clinical benefit with monthly-or-longer dosing (vs today's weekly cycles) and the broadest autoantibody-disease label.</w:t>
            </w:r>
          </w:p>
        </w:tc>
      </w:tr>
    </w:tbl>
    <w:p>
      <w:pPr>
        <w:pStyle w:val="Heading2"/>
      </w:pPr>
      <w:r>
        <w:t xml:space="preserve">BD overlay — control, availability, and the so-what</w:t>
      </w:r>
    </w:p>
    <w:p>
      <w:pPr>
        <w:spacing w:after="120"/>
      </w:pPr>
      <w:r>
        <w:t xml:space="preserve">Who controls each asset and whether it can be transacted: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50"/>
        <w:gridCol w:w="1350"/>
        <w:gridCol w:w="456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7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45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So-what for a buyer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efgartigimod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argenx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class leader and franchise; not for sale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rozanolixizumab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UCB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UCB's FcRn entry; in-house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nipocalimab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Johnson &amp; Johnson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J&amp;J's broad-indication FcRn platform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IMVT-1402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Immunovant (Roivant)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partnerable / acquirable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late-stage FcRn asset inside a Roivant vehicle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extended-half-life FcRn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emerging / China-origin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open lane — a convenience-differentiated next-gen agent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The approved FcRn inhibitors are locked inside argenx, UCB and J&amp;J. The transactable optionality is in the next generation — Immunovant's IMVT-1402 (within a Roivant structure) and emerging extended-half-life / China-origin FcRn programs. For a buyer, the differentiated position to acquire is convenience (infrequent dosing), since efficacy is already settled.</w:t>
      </w:r>
    </w:p>
    <w:p>
      <w:pPr>
        <w:pStyle w:val="Heading1"/>
      </w:pPr>
      <w:r>
        <w:t xml:space="preserve">5 · Alternative mechanisms &amp; the broader 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450"/>
        <w:gridCol w:w="37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 vs an extended-half-life FcRn agent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FcRn inhibitors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efgartigimod, rozanolixizumab, nipocalimab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same mechanism; the convenience/breadth race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Complement inhibitors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eculizumab, ravulizumab, zilucoplan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(gMG)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competing targeted class; meningococcal-vaccination burden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B-cell / plasma-cell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rituximab; CAR-T, BCMA (investigational)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off-label / emerging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deeper/durable but higher-risk; potential one-time therapy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Legacy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IVIG, plasma exchange, steroids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standard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what FcRn inhibition chronically replaces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matters. </w:t>
      </w:r>
      <w:r>
        <w:t xml:space="preserve">gMG already has multiple targeted options at similar efficacy, so the FcRn battleground is convenience and breadth, while the longer-term disruptive threat is one-time B-cell/CAR-T therapy that could cure rather than chronically treat. An extended-half-life FcRn inhibitor's defensible claim is the best chronic-therapy experience — deep autoantibody control with the fewest doses — across the widest set of autoantibody diseases.</w:t>
      </w:r>
    </w:p>
    <w:p>
      <w:pPr>
        <w:spacing w:after="120"/>
      </w:pPr>
      <w:r>
        <w:rPr>
          <w:b/>
          <w:bCs/>
        </w:rPr>
        <w:t xml:space="preserve">Beyond gMG. </w:t>
      </w:r>
      <w:r>
        <w:t xml:space="preserve">The FcRn mechanism is indication-agnostic: CIDP, ITP, pemphigus, wAIHA, Graves', myositis, neuromyelitis optica, and pregnancy alloimmunization are all autoantibody-driven. Nipocalimab's multi-indication strategy shows the breadth; a convenient, broadly-labeled agent participates across the entire autoantibody-disease market — the real size of the opportunity.</w:t>
      </w:r>
    </w:p>
    <w:p>
      <w:pPr>
        <w:pStyle w:val="Heading1"/>
      </w:pPr>
      <w:r>
        <w:t xml:space="preserve">6 · Safety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Infection risk from IgG lowering. </w:t>
      </w:r>
      <w:r>
        <w:t xml:space="preserve">FcRn blockade reduces total IgG, modestly increasing infection (mostly upper-respiratory) risk; the class has managed this acceptably, but a high-exposure, infrequently-dosed agent must show the trough IgG reduction stays in a safe band.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Albumin / lipid effects. </w:t>
      </w:r>
      <w:r>
        <w:t xml:space="preserve">Because FcRn also recycles albumin, some FcRn inhibitors (notably batoclimab) have shown albumin reduction and lipid changes; an albumin-binding design must manage this interaction carefully.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Indication-specific failure is real. </w:t>
      </w:r>
      <w:hyperlink w:history="1" r:id="rIduq4hujphobe_hls091ruj">
        <w:r>
          <w:rPr>
            <w:rStyle w:val="Hyperlink"/>
          </w:rPr>
          <w:t xml:space="preserve">Batoclimab's Phase 3 in thyroid eye disease missed</w:t>
        </w:r>
      </w:hyperlink>
      <w:r>
        <w:t xml:space="preserve"> — not every autoantibody disease responds to IgG reduction, so breadth claims require indication-by-indication proof.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Immunogenicity &amp; CMC. </w:t>
      </w:r>
      <w:r>
        <w:t xml:space="preserve">An engineered bispecific (FcRn + albumin) must show low ADA and a manufacturable SC formulation supporting the infrequent dosing that is its core value.</w:t>
      </w:r>
    </w:p>
    <w:p>
      <w:pPr>
        <w:pStyle w:val="Heading1"/>
      </w:pPr>
      <w:r>
        <w:t xml:space="preserve">7 · Catalysts &amp;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Nipocalimab wAIHA FDA decision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Q4 2026 – Q1 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~68%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wAIHA therapy; FcRn breadth extends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IMVT-1402 Graves' registrational data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CY 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~50%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FcRn into a new endocrine autoimmune disease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Efgartigimod new-indication readouts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2026–2027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 expansion (e.g., ocular MG, others)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extended-half-life FcRn reaches the clinic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2026–2027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45-55%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monthly-dosing differentiation is tested</w:t>
            </w:r>
          </w:p>
        </w:tc>
      </w:tr>
    </w:tbl>
    <w:p>
      <w:pPr>
        <w:pStyle w:val="Heading1"/>
      </w:pPr>
      <w:r>
        <w:t xml:space="preserve">8 · Payer differentiation</w:t>
      </w:r>
    </w:p>
    <w:p>
      <w:pPr>
        <w:spacing w:after="120"/>
      </w:pPr>
      <w:r>
        <w:t xml:space="preserve">FcRn inhibitors are high-cost chronic biologics; payers compete agents on net cost, outcomes and administration: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Lever</w:t>
            </w:r>
          </w:p>
        </w:tc>
        <w:tc>
          <w:tcPr>
            <w:tcW w:type="dxa" w:w="7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payers reward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Clinical response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disease-specific functional improvement (MG-ADL, platelet count, etc.) sustained over time — the outcome that justifies a high-cost chronic therapy.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 &amp; site of care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fewer administrations (monthly vs weekly cycles) and home self-injection cut drug and infusion-center cost — the clearest economic lever in a commoditized-efficacy class.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Indication breadth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broad label simplifies coverage and increases the agent's value across a payer's autoimmune population.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Comparative effectiveness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benchmarked against the other FcRn inhibitors and complement agents; at efficacy parity, convenience and net price decide formulary preference.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Safety / monitoring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lower infection and albumin/lipid burden reduces monitoring cost and supports infrequent dosing.</w:t>
            </w:r>
          </w:p>
        </w:tc>
      </w:tr>
    </w:tbl>
    <w:p>
      <w:pPr>
        <w:spacing w:after="120"/>
      </w:pPr>
      <w:r>
        <w:rPr>
          <w:b/>
          <w:bCs/>
        </w:rPr>
        <w:t xml:space="preserve">Price anchors. </w:t>
      </w:r>
      <w:r>
        <w:t xml:space="preserve">FcRn inhibitors carry high annual costs typical of rare-disease biologics, and the </w:t>
      </w:r>
      <w:hyperlink w:history="1" r:id="rIdd6bppgvednocqvh1r9ad0">
        <w:r>
          <w:rPr>
            <w:rStyle w:val="Hyperlink"/>
          </w:rPr>
          <w:t xml:space="preserve">class is growing ~20-25%/yr toward several billion dollars</w:t>
        </w:r>
      </w:hyperlink>
      <w:r>
        <w:t xml:space="preserve"> on indication expansion. With efficacy settled, realized value accrues to the agent that wins on convenience and breadth at a competitive net price.</w:t>
      </w:r>
    </w:p>
    <w:p>
      <w:pPr>
        <w:pStyle w:val="Heading1"/>
      </w:pPr>
      <w:r>
        <w:t xml:space="preserve">9 · Value &amp; deal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Scale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argenx (efgartigimod)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large-cap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FcRn franchise value benchmark; VYVGART a multi-$B product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Immunovant (Roivant)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public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next-gen FcRn vehicle; IMVT-1402 the lead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Extended-half-life FcRn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early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open, convenience-differentiated lane</w:t>
            </w:r>
          </w:p>
        </w:tc>
      </w:tr>
    </w:tbl>
    <w:p>
      <w:pPr>
        <w:spacing w:after="120"/>
      </w:pPr>
      <w:r>
        <w:t xml:space="preserve">The class's value is set by argenx's franchise and the breadth of the autoantibody opportunity. For a differentiated (convenience) FcRn asset, value scales with how decisively it solves the dosing problem at efficacy parity: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monthly-or-longer dosing at efficacy parity + broad label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$2-6B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convenience + breadth in a growing class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modest dosing improvement, narrow label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$0.5-2B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incremental in a crowded class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convenience or breadth advantage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$0.5B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fourth me-too FcRn inhibitor</w:t>
            </w:r>
          </w:p>
        </w:tc>
      </w:tr>
    </w:tbl>
    <w:p>
      <w:pPr>
        <w:pStyle w:val="Heading1"/>
      </w:pPr>
      <w:r>
        <w:t xml:space="preserve">10 · Competitive geography</w:t>
      </w:r>
    </w:p>
    <w:p>
      <w:pPr>
        <w:spacing w:after="120"/>
      </w:pPr>
      <w:r>
        <w:t xml:space="preserve">The approved FcRn franchises are Western (argenx, UCB, J&amp;J), with Immunovant/Roivant the principal next-generation Western player. Extended-half-life and bispecific FcRn designs — the convenience frontier — are emerging from both Western biotech and China-origin programs, mirroring the dual-target pattern seen in IBD and respiratory. The probable transactions are next-gen FcRn takeouts or partnerships where a large autoimmune player buys a convenience-differentiated, broadly-developable asset to extend a franchise the approved agents have commoditized on efficacy.</w:t>
      </w:r>
    </w:p>
    <w:p>
      <w:pPr>
        <w:pStyle w:val="Heading1"/>
      </w:pPr>
      <w:r>
        <w:t xml:space="preserve">11 ·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extended-half-life FcRn delivers monthly dosing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convenience winner; differentiates a commoditized class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efficacy parity but only modest dosing gain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incremental; competes on price/breadth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B-cell / CAR-T one-time therapy disrupts chronic FcRn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long-term threat to the whole chronic-FcRn model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extended-half-life design can't sustain IgG suppression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convenience thesis fails technically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value-destroying case. </w:t>
            </w:r>
            <w:r>
              <w:t xml:space="preserve">A fourth FcRn inhibitor at efficacy parity, with the same weekly-ish dosing and no broader label, has little to offer a class already served by three approved franchises. The defense is a design that demonstrably solves the dosing problem — deep, sustained IgG reduction at monthly-or-longer intervals — and a multi-indication development plan, established before committing to a crowded launch.</w:t>
            </w:r>
          </w:p>
        </w:tc>
      </w:tr>
    </w:tbl>
    <w:p>
      <w:pPr>
        <w:pStyle w:val="Heading1"/>
      </w:pPr>
      <w:r>
        <w:t xml:space="preserve">12 · Diligence checklist (asset-level data)</w:t>
      </w:r>
    </w:p>
    <w:p>
      <w:pPr>
        <w:spacing w:after="120"/>
      </w:pPr>
      <w:r>
        <w:t xml:space="preserve">Answered with a program's proprietary data, not public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strong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IgG suppression depth/duration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60-80% IgG reduction sustained across a monthly-or-longer dosing interval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Dual binding (if albumin-arm)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FcRn blockade + albumin binding demonstrated without compromising either; half-life extension quantified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Clinical efficacy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disease-specific response (MG-ADL, etc.) at or near the FcRn class benchmark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Safety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infection rate and albumin/lipid effects within the class-acceptable band at high exposure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Breadth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credible multi-indication development plan (gMG → CIDP → ITP → others)</w:t>
            </w:r>
          </w:p>
        </w:tc>
      </w:tr>
    </w:tbl>
    <w:p>
      <w:pPr>
        <w:pStyle w:val="Heading1"/>
      </w:pPr>
      <w:r>
        <w:t xml:space="preserve">13 · Standing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1500"/>
        <w:gridCol w:w="1760"/>
      </w:tblGrid>
      <w:tr>
        <w:trPr>
          <w:tblHeader/>
        </w:trPr>
        <w:tc>
          <w:tcPr>
            <w:tcW w:type="dxa" w:w="4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7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(range)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Nipocalimab is approved in wAIHA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68%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Q4 2026 – Q1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IMVT-1402 reports a positive pivotal readout (any indication)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first extended-half-life FcRn inhibitor reaches the clinic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first-to-clinic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45-55%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 –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FcRn class adds a fourth approved indication beyond gMG/CIDP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regulatory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60-70%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 – 2027</w:t>
            </w:r>
          </w:p>
        </w:tc>
      </w:tr>
    </w:tbl>
    <w:p>
      <w:pPr>
        <w:pStyle w:val="Heading1"/>
      </w:pPr>
      <w:r>
        <w:t xml:space="preserve">What would change this view</w:t>
      </w:r>
    </w:p>
    <w:p>
      <w:pPr>
        <w:spacing w:after="120"/>
      </w:pPr>
      <w:r>
        <w:t xml:space="preserve">The load-bearing conclusions and their disconfirming signals: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If we see…</w:t>
            </w:r>
          </w:p>
        </w:tc>
        <w:tc>
          <w:tcPr>
            <w:tcW w:type="dxa" w:w="53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…the view changes to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extended-half-life FcRn agent achieving monthly dosing at parity efficacy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convenience becomes the value axis; weekly-dosed agents devalue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B-cell / CAR-T therapy delivering durable drug-free remission in gMG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chronic-FcRn model is threatened long-term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extended-half-life design failing to sustain deep IgG suppression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convenience thesis fails; efficacy parity isn't enough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class-wide infection or albumin-safety signal at high exposure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safety ceiling tightens; infrequent-dosing designs constrained</w:t>
            </w:r>
          </w:p>
        </w:tc>
      </w:tr>
    </w:tbl>
    <w:p>
      <w:pPr>
        <w:spacing w:after="120"/>
      </w:pPr>
      <w:r>
        <w:rPr>
          <w:i/>
          <w:iCs/>
        </w:rPr>
        <w:t xml:space="preserve">Every quantitative claim here is footnoted to its primary source; where a claim is a hypothesis (the albumin-arm dosing premise, the breadth assumption) it is labelled as such, not asserted as fact.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85" w:before="200"/>
      <w:outlineLvl w:val="0"/>
    </w:pPr>
    <w:rPr>
      <w:rFonts w:ascii="Arial" w:cs="Arial" w:eastAsia="Arial" w:hAnsi="Arial"/>
      <w:b/>
      <w:bCs/>
      <w:color w:val="1A3F8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8"/>
      <w:szCs w:val="18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xjikgpxdglfklyxljeat" Type="http://schemas.openxmlformats.org/officeDocument/2006/relationships/hyperlink" Target="https://www.thelancet.com/journals/laneur/article/PIIS1474-4422(21)00159-9/abstract" TargetMode="External"/><Relationship Id="rIdbvgtshy5-ntoju403u3g2" Type="http://schemas.openxmlformats.org/officeDocument/2006/relationships/hyperlink" Target="https://www.neurologylive.com/view/phase-3b-adapt-nxt-study-confirms-efficacy-cyclic-biweekly-dosing-efgartigimod-generalized-mg" TargetMode="External"/><Relationship Id="rIda6s14j4ytzwny7_o90-p7" Type="http://schemas.openxmlformats.org/officeDocument/2006/relationships/hyperlink" Target="https://alexion.us/news-centre-resources/fact-sheets/gmg" TargetMode="External"/><Relationship Id="rIdlsbhl_qk4c-j9ose5yxin" Type="http://schemas.openxmlformats.org/officeDocument/2006/relationships/hyperlink" Target="https://www.thelancet.com/journals/laneur/article/PIIS1474-4422(21)00159-9/abstract" TargetMode="External"/><Relationship Id="rIdjgx0xidpdn28jcn17btg4" Type="http://schemas.openxmlformats.org/officeDocument/2006/relationships/hyperlink" Target="https://www.thelancet.com/journals/laneur/article/PIIS1474-4422(21)00159-9/abstract" TargetMode="External"/><Relationship Id="rIdagt0gslm9ypvnn5dhb45k" Type="http://schemas.openxmlformats.org/officeDocument/2006/relationships/hyperlink" Target="https://www.neurologylive.com/view/phase-3b-adapt-nxt-study-confirms-efficacy-cyclic-biweekly-dosing-efgartigimod-generalized-mg" TargetMode="External"/><Relationship Id="rIdmepxr6oy_50wham5dbza0" Type="http://schemas.openxmlformats.org/officeDocument/2006/relationships/hyperlink" Target="https://www.thelancet.com/journals/laneur/article/PIIS1474-4422(21)00159-9/abstract" TargetMode="External"/><Relationship Id="rIduq4hujphobe_hls091ruj" Type="http://schemas.openxmlformats.org/officeDocument/2006/relationships/hyperlink" Target="https://www.immunovant.com/" TargetMode="External"/><Relationship Id="rIdd6bppgvednocqvh1r9ad0" Type="http://schemas.openxmlformats.org/officeDocument/2006/relationships/hyperlink" Target="https://www.delveinsight.com/report-store/fcrn-inhibitor-competitive-landscape-and-market-forecast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2026-06-09T22:01:05.122Z</dcterms:created>
  <dcterms:modified xsi:type="dcterms:W3CDTF">2026-06-09T22:01:05.122Z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