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3F8F" w:val="clear"/>
        <w:spacing w:after="0"/>
      </w:pPr>
      <w:r>
        <w:rPr>
          <w:b/>
          <w:bCs/>
          <w:color w:val="FFFFFF"/>
          <w:sz w:val="16"/>
          <w:szCs w:val="16"/>
        </w:rPr>
        <w:t xml:space="preserve">  ◆ THE MERIDIAN · AREA INTELLIGENCE BRIEF</w:t>
      </w:r>
      <w:r>
        <w:rPr>
          <w:color w:val="D7E3F5"/>
          <w:sz w:val="13"/>
          <w:szCs w:val="13"/>
        </w:rPr>
        <w:t xml:space="preserve">                                                                                  June 9, 2026</w:t>
      </w:r>
    </w:p>
    <w:p>
      <w:pPr>
        <w:shd w:fill="1A3F8F" w:val="clear"/>
        <w:spacing w:after="40" w:before="30"/>
      </w:pPr>
      <w:r>
        <w:rPr>
          <w:b/>
          <w:bCs/>
          <w:color w:val="FFFFFF"/>
          <w:sz w:val="29"/>
          <w:szCs w:val="29"/>
        </w:rPr>
        <w:t xml:space="preserve">  IL-4Rα × OX40L in atopic dermatitis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~16.5M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US adults with AD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~6.6M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moderate-to-severe (adults)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~38% / ~45%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dupilumab IGA0/1 · EASI-75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$14B+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Dupixent franchise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2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axes: effector + T-cell</w:t>
            </w:r>
          </w:p>
        </w:tc>
      </w:tr>
    </w:tbl>
    <w:p>
      <w:pPr>
        <w:pStyle w:val="Heading1"/>
      </w:pPr>
      <w:r>
        <w:t xml:space="preserve">The landscape in brief</w:t>
      </w:r>
    </w:p>
    <w:p>
      <w:pPr>
        <w:spacing w:after="120"/>
      </w:pPr>
      <w:r>
        <w:t xml:space="preserve">Atopic dermatitis is the most commercially proven type-2 disease: </w:t>
      </w:r>
      <w:r>
        <w:rPr>
          <w:b/>
          <w:bCs/>
        </w:rPr>
        <w:t xml:space="preserve">dupilumab</w:t>
      </w:r>
      <w:r>
        <w:t xml:space="preserve"> (anti-IL-4Rα) anchors a &gt;$14B franchise by blocking the IL-4/IL-13 effector cytokines, and </w:t>
      </w:r>
      <w:r>
        <w:rPr>
          <w:b/>
          <w:bCs/>
        </w:rPr>
        <w:t xml:space="preserve">IL-13</w:t>
      </w:r>
      <w:r>
        <w:t xml:space="preserve">-selective agents (lebrikizumab, tralokinumab) and oral JAKs fill the rest of the shelf. The newer frontier is the </w:t>
      </w:r>
      <w:r>
        <w:rPr>
          <w:b/>
          <w:bCs/>
        </w:rPr>
        <w:t xml:space="preserve">T cell</w:t>
      </w:r>
      <w:r>
        <w:t xml:space="preserve"> itself: </w:t>
      </w:r>
      <w:r>
        <w:rPr>
          <w:b/>
          <w:bCs/>
        </w:rPr>
        <w:t xml:space="preserve">amlitelimab</w:t>
      </w:r>
      <w:r>
        <w:t xml:space="preserve"> (anti-OX40L) and </w:t>
      </w:r>
      <w:r>
        <w:rPr>
          <w:b/>
          <w:bCs/>
        </w:rPr>
        <w:t xml:space="preserve">rocatinlimab</w:t>
      </w:r>
      <w:r>
        <w:t xml:space="preserve"> (anti-OX40) block the costimulation that expands pathogenic Th2 memory, and have shown deep, increasingly durable responses. The unresolved question is whether combining downstream effector control (IL-4Rα) with upstream T-cell modulation (OX40L) in one molecule delivers </w:t>
      </w:r>
      <w:r>
        <w:rPr>
          <w:b/>
          <w:bCs/>
        </w:rPr>
        <w:t xml:space="preserve">dupilumab-fast clearance with disease-modifying durability</w:t>
      </w:r>
      <w:r>
        <w:t xml:space="preserve"> — fewer doses, longer drug-free remission. No IL-4Rα×OX40L bispecific has human efficacy data; Apogee is already testing the two-antibody version (APG279).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9A6A00" w:sz="18"/>
              <w:bottom w:val="none"/>
              <w:right w:val="none"/>
            </w:tcBorders>
            <w:shd w:fill="FFF7E6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State of validation: </w:t>
            </w:r>
            <w:r>
              <w:t xml:space="preserve">IL-4Rα is approved and durable; OX40L blockade is Phase 3-positive (amlitelimab) with a durability signal; the dual-mechanism bispecific is unproven. The opportunity is fast skin clearance plus a longer, more durable, less-frequently-dosed response than either mechanism delivers alone.</w:t>
            </w:r>
          </w:p>
        </w:tc>
      </w:tr>
    </w:tbl>
    <w:p>
      <w:pPr>
        <w:pStyle w:val="Heading1"/>
      </w:pPr>
      <w:r>
        <w:t xml:space="preserve">What determines value here</w:t>
      </w:r>
    </w:p>
    <w:p>
      <w:pPr>
        <w:spacing w:after="120"/>
      </w:pPr>
      <w:r>
        <w:t xml:space="preserve">The axes on which an IL-4Rα / OX40L asset is judged: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tblHeader/>
        </w:trPr>
        <w:tc>
          <w:tcPr>
            <w:tcW w:type="dxa" w:w="2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Axis</w:t>
            </w:r>
          </w:p>
        </w:tc>
        <w:tc>
          <w:tcPr>
            <w:tcW w:type="dxa" w:w="72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Specifics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Skin clearance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EASI-75 and IGA 0/1 are the registrational currency; the bar is dupilumab (~45% / ~38% Wk16) and the IL-13 agents, with oral JAKs higher (~70-80%) but boxed-warning-limited.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Itch / speed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rapid itch relief drives patient preference and adherence; dupilumab improves itch within days — the experiential bar.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Durability / disease modification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OX40 axis's distinctive claim is deeper, longer responses and drug-free intervals — the lever a T-cell mechanism adds over pure effector blockade.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Dosing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 targets Q12W and APG777 even less frequent; infrequent dosing is a real differentiator vs dupilumab Q2W.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Safety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clean type-2 safety is expected; OX40-receptor blockade carries a Kaposi's signal (rocatinlimab) that OX40L (ligand) blockade may avoid — a mechanistic differentiator.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Competitive set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target-space (IL-4Rα, IL-13, OX40/OX40L, IL-31) and indication-space (oral JAKs, topicals) — one of the most crowded areas in immunology.</w:t>
            </w:r>
          </w:p>
        </w:tc>
      </w:tr>
    </w:tbl>
    <w:p>
      <w:pPr>
        <w:spacing w:after="120"/>
      </w:pPr>
      <w:r>
        <w:rPr>
          <w:b/>
          <w:bCs/>
        </w:rPr>
        <w:t xml:space="preserve">Field view. </w:t>
      </w:r>
      <w:r>
        <w:t xml:space="preserve">The AD field has shifted from 'can we hit type-2?' (answered) to 'can we do it more durably and more conveniently than dupilumab?' Amlitelimab's Phase 3 wins and its </w:t>
      </w:r>
      <w:hyperlink w:history="1" r:id="rIdyycgg-3kxba7h9bcrj-zn">
        <w:r>
          <w:rPr>
            <w:rStyle w:val="Hyperlink"/>
          </w:rPr>
          <w:t xml:space="preserve">increasing-through-Week-24 response</w:t>
        </w:r>
      </w:hyperlink>
      <w:r>
        <w:t xml:space="preserve"> put T-cell costimulation blockade on the map; Apogee's </w:t>
      </w:r>
      <w:hyperlink w:history="1" r:id="rIdgbijenzxicu814le2yc2s">
        <w:r>
          <w:rPr>
            <w:rStyle w:val="Hyperlink"/>
          </w:rPr>
          <w:t xml:space="preserve">APG279 (anti-IL-13 + anti-OX40L) combination</w:t>
        </w:r>
      </w:hyperlink>
      <w:r>
        <w:t xml:space="preserve"> is the explicit two-antibody test of effector + T-cell modulation. A single IL-4Rα×OX40L bispecific is the one-molecule version of the same thesis — and must prove the combination beats the best monotherapy on durability, not just match it on clearance.</w:t>
      </w:r>
    </w:p>
    <w:p>
      <w:pPr>
        <w:pStyle w:val="Heading1"/>
      </w:pPr>
      <w:r>
        <w:t xml:space="preserve">1 · Patient &amp; disease</w:t>
      </w:r>
    </w:p>
    <w:p>
      <w:pPr>
        <w:spacing w:after="120"/>
      </w:pPr>
      <w:r>
        <w:t xml:space="preserve">Atopic dermatitis is a chronic, relapsing, intensely itchy barrier-and-immune disease beginning mostly in childhood; </w:t>
      </w:r>
      <w:hyperlink w:history="1" r:id="rId6cv3h0p7m0qux7ejulbgb">
        <w:r>
          <w:rPr>
            <w:rStyle w:val="Hyperlink"/>
          </w:rPr>
          <w:t xml:space="preserve">~16.5M US adults are affected and ~40% (≈6.6M) have moderate-to-severe disease</w:t>
        </w:r>
      </w:hyperlink>
      <w:r>
        <w:t xml:space="preserve">. The pathology is a self-reinforcing cycle: a defective skin barrier (filaggrin) lets in allergens and microbes, type-2 cytokines (IL-4/IL-13/IL-31) drive inflammation and itch, scratching further breaks the barrier, and OX40-driven T-cell memory entrenches the disease. The unmet need is not whether type-2 blockade works — it does — but depth (complete clearance), durability (drug-free remission), and convenience.</w:t>
      </w:r>
    </w:p>
    <w:p>
      <w:pPr>
        <w:spacing w:after="120"/>
      </w:pPr>
      <w:r>
        <w:rPr>
          <w:b/>
          <w:bCs/>
        </w:rPr>
        <w:t xml:space="preserve">The patient, not just the disease. </w:t>
      </w:r>
      <w:r>
        <w:t xml:space="preserve">AD patients live with relentless itch, disfiguring flares, sleep loss and significant anxiety/depression; many have cycled through topical steroids, dupilumab or a JAK. 'Better,' from their side, is clear skin and no itch — fast — without daily pills or frequent injections, and ideally a treatment they can pause. That is precisely the profile (deep, durable, infrequently dosed) a combined effector + T-cell mechanism is designed to deliver, and the reason durability and dosing — not raw efficacy — are where value concentrates.</w:t>
      </w:r>
    </w:p>
    <w:p>
      <w:pPr>
        <w:spacing w:after="120"/>
      </w:pPr>
      <w:r>
        <w:rPr>
          <w:b/>
          <w:bCs/>
        </w:rPr>
        <w:t xml:space="preserve">Why a bispecific. </w:t>
      </w:r>
      <w:r>
        <w:t xml:space="preserve">Dupilumab controls the IL-4/IL-13 effector but must be continued indefinitely; OX40L blockade modulates the T cells upstream and shows responses that deepen over time and may persist off-drug. Each mechanism leaves something on the table — effector blockade lacks durability, T-cell blockade is slower to clear skin. One molecule doing both is the mechanistic case for a fast-and-durable agent.</w:t>
      </w:r>
    </w:p>
    <w:p>
      <w:pPr>
        <w:pStyle w:val="Heading1"/>
      </w:pPr>
      <w:r>
        <w:t xml:space="preserve">2 · Lines of therapy &amp; where these mechanisms sit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Line</w:t>
            </w:r>
          </w:p>
        </w:tc>
        <w:tc>
          <w:tcPr>
            <w:tcW w:type="dxa" w:w="74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Atopic dermatitis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1L topical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emollients, topical corticosteroids, topical calcineurin / PDE4 / JAK (ruxolitinib cream)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2L systemic (advanced)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biologics — dupilumab (IL-4Rα), lebrikizumab / tralokinumab (IL-13), nemolizumab (IL-31R); or oral JAK (upadacitinib, abrocitinib)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Emerging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 (OX40L), rocatinlimab (OX40), APG777 (IL-13, infrequent dosing), APG279 (IL-13 + OX40L combo)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Where a bispecific enters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biologic-experienced / inadequate responders first, then earlier with durability + dosing data</w:t>
            </w:r>
          </w:p>
        </w:tc>
      </w:tr>
    </w:tbl>
    <w:p>
      <w:pPr>
        <w:spacing w:after="120"/>
      </w:pPr>
      <w:r>
        <w:t xml:space="preserve">Unlike IBD, AD has no payer-mandated step through an older biologic — but the shelf is crowded, so a new agent enters in dupilumab/JAK-experienced or inadequate responders and earns earlier placement only with a clear durability or convenience edge. Value scales with the ability to displace dupilumab as the anchor, or to own the 'durable remission' positioning it does not claim.</w:t>
      </w:r>
    </w:p>
    <w:p>
      <w:pPr>
        <w:pStyle w:val="Heading1"/>
      </w:pPr>
      <w:r>
        <w:t xml:space="preserve">3 · The scientific thesis</w:t>
      </w:r>
    </w:p>
    <w:p>
      <w:pPr>
        <w:pStyle w:val="Heading2"/>
      </w:pPr>
      <w:r>
        <w:t xml:space="preserve">The targets, precisely</w:t>
      </w:r>
    </w:p>
    <w:p>
      <w:pPr>
        <w:spacing w:after="120"/>
      </w:pPr>
      <w:r>
        <w:t xml:space="preserve">The bet pairs an effector node with a T-cell node. </w:t>
      </w:r>
      <w:r>
        <w:rPr>
          <w:b/>
          <w:bCs/>
        </w:rPr>
        <w:t xml:space="preserve">IL-4Rα</w:t>
      </w:r>
      <w:r>
        <w:t xml:space="preserve"> (the </w:t>
      </w:r>
      <w:hyperlink w:history="1" r:id="rIdensulreg9smwc118na8is">
        <w:r>
          <w:rPr>
            <w:rStyle w:val="Hyperlink"/>
          </w:rPr>
          <w:t xml:space="preserve">IL4R gene product</w:t>
        </w:r>
      </w:hyperlink>
      <w:r>
        <w:t xml:space="preserve">) is the shared receptor for IL-4 and IL-13 — the type-2 cytokines that drive barrier dysfunction, inflammation and itch; it is dupilumab's target and a validated AD susceptibility locus alongside IL13 and filaggrin (FLG). </w:t>
      </w:r>
      <w:r>
        <w:rPr>
          <w:b/>
          <w:bCs/>
        </w:rPr>
        <w:t xml:space="preserve">OX40L</w:t>
      </w:r>
      <w:r>
        <w:t xml:space="preserve"> (TNFSF4, on antigen-presenting cells) engages </w:t>
      </w:r>
      <w:r>
        <w:rPr>
          <w:b/>
          <w:bCs/>
        </w:rPr>
        <w:t xml:space="preserve">OX40</w:t>
      </w:r>
      <w:r>
        <w:t xml:space="preserve"> (TNFRSF4) on activated T cells to costimulate the expansion and survival of pathogenic Th2 memory — upstream of the cytokines. </w:t>
      </w:r>
      <w:r>
        <w:rPr>
          <w:b/>
          <w:bCs/>
        </w:rPr>
        <w:t xml:space="preserve">On-target consideration: </w:t>
      </w:r>
      <w:r>
        <w:t xml:space="preserve">OX40–OX40L modulates T-cell biology broadly, so the relevant safety question is immune-surveillance (the Kaposi's signal seen with OX40-receptor blockade) — which OX40L (ligand) blockade, being more upstream and less completely T-cell-suppressive, may avoid.</w:t>
      </w:r>
    </w:p>
    <w:p>
      <w:pPr>
        <w:pStyle w:val="Heading2"/>
      </w:pPr>
      <w:r>
        <w:t xml:space="preserve">Why both, and what is already proven</w:t>
      </w:r>
    </w:p>
    <w:p>
      <w:pPr>
        <w:spacing w:after="120"/>
      </w:pPr>
      <w:r>
        <w:t xml:space="preserve">Effector blockade is fully validated and fast but not curative: </w:t>
      </w:r>
      <w:hyperlink w:history="1" r:id="rId9sbtb2xeofy5kfqw3jxtv">
        <w:r>
          <w:rPr>
            <w:rStyle w:val="Hyperlink"/>
          </w:rPr>
          <w:t xml:space="preserve">dupilumab clears skin in weeks</w:t>
        </w:r>
      </w:hyperlink>
      <w:r>
        <w:t xml:space="preserve"> yet must be continued. T-cell costimulation blockade is now validated too — </w:t>
      </w:r>
      <w:hyperlink w:history="1" r:id="rId0yjr2s6boi4phvgushi8r">
        <w:r>
          <w:rPr>
            <w:rStyle w:val="Hyperlink"/>
          </w:rPr>
          <w:t xml:space="preserve">amlitelimab met all Phase 3 endpoints with responses that increased through Week 24</w:t>
        </w:r>
      </w:hyperlink>
      <w:r>
        <w:t xml:space="preserve"> — and points at durability and drug-free remission that effector blockade does not deliver. The two are complementary: IL-4Rα for speed and depth of clearance, OX40L for durability and disease modification. The combination is the mechanism-level answer to AD's real gap — keeping patients clear, longer, with fewer doses.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9A6A00" w:sz="18"/>
              <w:bottom w:val="none"/>
              <w:right w:val="none"/>
            </w:tcBorders>
            <w:shd w:fill="FFF7E6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Testable conclusion. </w:t>
            </w:r>
            <w:r>
              <w:t xml:space="preserve">If OX40L-driven durability and IL-4Rα-driven clearance are complementary, a dual agent should match dupilumab on skin clearance while extending drug-free remission and lengthening dosing intervals. It is falsifiable: if the combination only matches monotherapy clearance with no durability gain, the single-molecule premium does not hold. </w:t>
            </w:r>
            <w:hyperlink w:history="1" r:id="rIdndkznj8qoe9dsie0mfo3q">
              <w:r>
                <w:rPr>
                  <w:rStyle w:val="Hyperlink"/>
                </w:rPr>
                <w:t xml:space="preserve">Apogee's APG279 (IL-13 + OX40L)</w:t>
              </w:r>
            </w:hyperlink>
            <w:r>
              <w:t xml:space="preserve"> is the first clinical test of the pairing; no IL-4Rα×OX40L bispecific has reported efficacy.</w:t>
            </w:r>
          </w:p>
        </w:tc>
      </w:tr>
    </w:tbl>
    <w:p>
      <w:pPr>
        <w:pStyle w:val="Heading1"/>
      </w:pPr>
      <w:r>
        <w:t xml:space="preserve">4 · Competition &amp; data</w:t>
      </w:r>
    </w:p>
    <w:p>
      <w:pPr>
        <w:spacing w:after="120"/>
      </w:pPr>
      <w:r>
        <w:t xml:space="preserve">Efficacy is the pivotal AD population (not head-to-head — trials, populations and endpoints differ).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060"/>
        <w:gridCol w:w="3100"/>
        <w:gridCol w:w="1400"/>
      </w:tblGrid>
      <w:tr>
        <w:trPr>
          <w:tblHeader/>
        </w:trPr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Asset</w:t>
            </w:r>
          </w:p>
        </w:tc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 (originator)</w:t>
            </w:r>
          </w:p>
        </w:tc>
        <w:tc>
          <w:tcPr>
            <w:tcW w:type="dxa" w:w="10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1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Target / format</w:t>
            </w:r>
          </w:p>
        </w:tc>
        <w:tc>
          <w:tcPr>
            <w:tcW w:type="dxa" w:w="14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EASI-75 / note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dupilumab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Sanofi / Regeneron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anti-IL-4Rα mAb, SC Q2W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~45% (Wk16); the bar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lebrikizumab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Lilly / Almirall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anti-IL-13 mAb, SC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~50-60% w/ maintenance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tralokinumab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LEO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anti-IL-13 mAb, SC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dupilumab-comparable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nemolizumab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Galderma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anti-IL-31R mAb, SC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itch-focused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Sanofi (Kymab)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 → filing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anti-OX40L mAb, SC Q4-12W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3 Ph3 positive; durable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rocatinlimab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Pfizer / Amgen (Kyowa)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anti-OX40 mAb, SC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ORIGIN; Kaposi signal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APG777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Apogee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 (2H26)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anti-IL-13 mAb, SC (LA)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APEX positive; infrequent dosing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APG279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Apogee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Ph1/2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IL-13 + OX40L combo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two-antibody dual test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1A3F8F" w:sz="18"/>
              <w:bottom w:val="none"/>
              <w:right w:val="none"/>
            </w:tcBorders>
            <w:shd w:fill="EEF4FB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The bar to beat, in numbers. </w:t>
            </w:r>
            <w:r>
              <w:t xml:space="preserve">The approved biologic standard is </w:t>
            </w:r>
            <w:hyperlink w:history="1" r:id="rId8imncvlzbjvlz_bt4umf8">
              <w:r>
                <w:rPr>
                  <w:rStyle w:val="Hyperlink"/>
                </w:rPr>
                <w:t xml:space="preserve">dupilumab — IGA 0/1 ~38% and EASI-75 ~45% at Week 16</w:t>
              </w:r>
            </w:hyperlink>
            <w:r>
              <w:t xml:space="preserve"> (IL-13 agents similar); oral JAKs reach EASI-75 ~70-80% but carry a boxed warning. A dual IL-4Rα×OX40L agent must match the biologic clearance bar and win on what biologics don't claim — durability, drug-free remission, and dosing interval — to justify its complexity.</w:t>
            </w:r>
          </w:p>
        </w:tc>
      </w:tr>
    </w:tbl>
    <w:p>
      <w:pPr>
        <w:pStyle w:val="Heading2"/>
      </w:pPr>
      <w:r>
        <w:t xml:space="preserve">BD overlay — control, availability, and the so-what</w:t>
      </w:r>
    </w:p>
    <w:p>
      <w:pPr>
        <w:spacing w:after="120"/>
      </w:pPr>
      <w:r>
        <w:t xml:space="preserve">Who controls each asset and whether it can be transacted: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50"/>
        <w:gridCol w:w="1350"/>
        <w:gridCol w:w="4560"/>
      </w:tblGrid>
      <w:tr>
        <w:trPr>
          <w:tblHeader/>
        </w:trPr>
        <w:tc>
          <w:tcPr>
            <w:tcW w:type="dxa" w:w="17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Asset</w:t>
            </w:r>
          </w:p>
        </w:tc>
        <w:tc>
          <w:tcPr>
            <w:tcW w:type="dxa" w:w="17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Control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Availability</w:t>
            </w:r>
          </w:p>
        </w:tc>
        <w:tc>
          <w:tcPr>
            <w:tcW w:type="dxa" w:w="45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So-what for a buyer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dupilumab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Sanofi + Regeneron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franchise; defines the bar, not for sale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Sanofi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Sanofi already owns the lead OX40L asset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rocatinlimab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Pfizer + Amgen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OX40 (receptor) play; co-owned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lebrikizumab / tralokinumab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Lilly/Almirall · LEO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IL-13 effectors; spoken for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APG777 / APG279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Apogee (independent)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acquirable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cleanest independent: IL-13 long-acting + the IL-13×OX40L combo thesis in one company</w:t>
            </w:r>
          </w:p>
        </w:tc>
      </w:tr>
    </w:tbl>
    <w:p>
      <w:pPr>
        <w:spacing w:after="120"/>
      </w:pPr>
      <w:r>
        <w:rPr>
          <w:b/>
          <w:bCs/>
        </w:rPr>
        <w:t xml:space="preserve">Read. </w:t>
      </w:r>
      <w:r>
        <w:t xml:space="preserve">The validated effector and T-cell assets are locked inside large pharma (Sanofi holds both dupilumab and amlitelimab). The transactable optionality is concentrated in </w:t>
      </w:r>
      <w:r>
        <w:rPr>
          <w:b/>
          <w:bCs/>
        </w:rPr>
        <w:t xml:space="preserve">Apogee</w:t>
      </w:r>
      <w:r>
        <w:t xml:space="preserve"> — long-acting IL-13 plus the explicit effector + OX40L combination — and in earlier or China-origin bispecific programs. For a buyer wanting a next-generation, durable, infrequently-dosed AD asset, that is where the position is acquirable.</w:t>
      </w:r>
    </w:p>
    <w:p>
      <w:pPr>
        <w:pStyle w:val="Heading1"/>
      </w:pPr>
      <w:r>
        <w:t xml:space="preserve">5 · Alternative mechanisms &amp; the broader competition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2050"/>
        <w:gridCol w:w="1450"/>
        <w:gridCol w:w="3710"/>
      </w:tblGrid>
      <w:tr>
        <w:trPr>
          <w:tblHeader/>
        </w:trPr>
        <w:tc>
          <w:tcPr>
            <w:tcW w:type="dxa" w:w="2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Class</w:t>
            </w:r>
          </w:p>
        </w:tc>
        <w:tc>
          <w:tcPr>
            <w:tcW w:type="dxa" w:w="20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Examples</w:t>
            </w:r>
          </w:p>
        </w:tc>
        <w:tc>
          <w:tcPr>
            <w:tcW w:type="dxa" w:w="14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37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Position vs an IL-4Rα×OX40L agent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Anti-IL-4Rα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dupilumab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franchise and clearance/safety bar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Anti-IL-13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lebrikizumab, tralokinumab, APG777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 / late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effector-equivalent; APG777 adds infrequent dosing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Anti-OX40 / OX40L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rocatinlimab, amlitelimab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 / filing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T-cell axis; durability is the differentiator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Anti-IL-31R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nemolizumab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itch-specific; complementary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Oral JAK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upadacitinib, abrocitinib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highest clearance but boxed warning; the oral-convenience threat</w:t>
            </w:r>
          </w:p>
        </w:tc>
      </w:tr>
    </w:tbl>
    <w:p>
      <w:pPr>
        <w:spacing w:after="120"/>
      </w:pPr>
      <w:r>
        <w:rPr>
          <w:b/>
          <w:bCs/>
        </w:rPr>
        <w:t xml:space="preserve">Why this matters. </w:t>
      </w:r>
      <w:r>
        <w:t xml:space="preserve">AD is among the most crowded immunology markets, and efficacy alone no longer differentiates. The defensible claim for a combined effector + T-cell agent is </w:t>
      </w:r>
      <w:r>
        <w:rPr>
          <w:b/>
          <w:bCs/>
        </w:rPr>
        <w:t xml:space="preserve">durable, drug-free remission with infrequent dosing</w:t>
      </w:r>
      <w:r>
        <w:t xml:space="preserve"> — a positioning dupilumab and the IL-13 agents do not own and that oral JAKs cannot safely claim. The competition to watch is amlitelimab (defining the OX40L durability story) and APG279 (the two-antibody version of the exact dual thesis).</w:t>
      </w:r>
    </w:p>
    <w:p>
      <w:pPr>
        <w:spacing w:after="120"/>
      </w:pPr>
      <w:r>
        <w:rPr>
          <w:b/>
          <w:bCs/>
        </w:rPr>
        <w:t xml:space="preserve">Beyond AD. </w:t>
      </w:r>
      <w:r>
        <w:t xml:space="preserve">The IL-4/IL-13 and OX40 axes extend across type-2 and autoimmune disease — asthma, CRSwNP, prurigo nodularis, chronic urticaria, alopecia areata, and others (dupilumab alone spans 8 indications). A durable dual agent carries broad label-expansion optionality beyond the AD numbers above.</w:t>
      </w:r>
    </w:p>
    <w:p>
      <w:pPr>
        <w:pStyle w:val="Heading1"/>
      </w:pPr>
      <w:r>
        <w:t xml:space="preserve">6 · Safety &amp; differentiation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Type-2 blockade is clean. </w:t>
      </w:r>
      <w:r>
        <w:t xml:space="preserve">IL-4Rα and IL-13 agents have favorable long-term safety (conjunctivitis is the notable dupilumab AE); this is the safety backdrop a dual agent inherits.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OX40 vs OX40L is a real mechanistic split. </w:t>
      </w:r>
      <w:r>
        <w:t xml:space="preserve">Rocatinlimab (anti-OX40, receptor) reported a </w:t>
      </w:r>
      <w:hyperlink w:history="1" r:id="rIdidfptlqwplnw_a2vtfekk">
        <w:r>
          <w:rPr>
            <w:rStyle w:val="Hyperlink"/>
          </w:rPr>
          <w:t xml:space="preserve">Kaposi's-sarcoma signal</w:t>
        </w:r>
      </w:hyperlink>
      <w:r>
        <w:t xml:space="preserve"> in predisposed patients; amlitelimab (anti-OX40L, ligand) blockade is more upstream and less completely T-cell-suppressive, and may carry a cleaner profile — a differentiator a bispecific should design toward (ligand arm).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Immunogenicity &amp; CMC. </w:t>
      </w:r>
      <w:r>
        <w:t xml:space="preserve">A dual-target, long-acting molecule must show low ADA and a manufacturable high-concentration SC formulation supporting the infrequent dosing that is half its value proposition.</w:t>
      </w:r>
    </w:p>
    <w:p>
      <w:pPr>
        <w:pStyle w:val="Heading1"/>
      </w:pPr>
      <w:r>
        <w:t xml:space="preserve">7 · Catalysts &amp; forecasts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1350"/>
        <w:gridCol w:w="1550"/>
        <w:gridCol w:w="3510"/>
      </w:tblGrid>
      <w:tr>
        <w:trPr>
          <w:tblHeader/>
        </w:trPr>
        <w:tc>
          <w:tcPr>
            <w:tcW w:type="dxa" w:w="29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Window</w:t>
            </w:r>
          </w:p>
        </w:tc>
        <w:tc>
          <w:tcPr>
            <w:tcW w:type="dxa" w:w="15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Estimate</w:t>
            </w:r>
          </w:p>
        </w:tc>
        <w:tc>
          <w:tcPr>
            <w:tcW w:type="dxa" w:w="35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tests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 FDA approval (AD)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65-75%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first OX40L approval; durability story validated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APG777 Phase 3 start (AD)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2H 2026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high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infrequent-dosing IL-13 advances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Rocatinlimab ORIGIN final data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2026–2027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OX40 (receptor) efficacy/safety profile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First IL-4Rα×OX40L bispecific human data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2027–2028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first data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dual effector + T-cell test</w:t>
            </w:r>
          </w:p>
        </w:tc>
      </w:tr>
    </w:tbl>
    <w:p>
      <w:pPr>
        <w:pStyle w:val="Heading1"/>
      </w:pPr>
      <w:r>
        <w:t xml:space="preserve">8 · Payer differentiation</w:t>
      </w:r>
    </w:p>
    <w:p>
      <w:pPr>
        <w:spacing w:after="120"/>
      </w:pPr>
      <w:r>
        <w:t xml:space="preserve">AD biologics are reimbursed without a mandated older-biologic step, so payers compete agents on net cost and outcomes: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7010"/>
      </w:tblGrid>
      <w:tr>
        <w:trPr>
          <w:tblHeader/>
        </w:trPr>
        <w:tc>
          <w:tcPr>
            <w:tcW w:type="dxa" w:w="2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Lever</w:t>
            </w:r>
          </w:p>
        </w:tc>
        <w:tc>
          <w:tcPr>
            <w:tcW w:type="dxa" w:w="70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payers reward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Clearance + itch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EASI-75 / IGA 0/1 and rapid itch relief — the outcomes that justify a biologic over topicals and orals.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Durability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deeper, longer responses (and drug-free intervals) lower total cost of disease — the economic case for a T-cell mechanism.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Dosing &amp; cost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Q12W or longer dosing and home self-injection reduce drug and administration cost vs Q2W; a real net-cost differentiator.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Comparative effectiveness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benchmarked against dupilumab and the IL-13 agents; a dual agent must show a durability or dosing edge to win preference in a crowded class.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Oral competition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convenient oral JAKs cap pricing power; the biologic must justify itself on safety and durability, not convenience alone.</w:t>
            </w:r>
          </w:p>
        </w:tc>
      </w:tr>
    </w:tbl>
    <w:p>
      <w:pPr>
        <w:spacing w:after="120"/>
      </w:pPr>
      <w:r>
        <w:rPr>
          <w:b/>
          <w:bCs/>
        </w:rPr>
        <w:t xml:space="preserve">Price anchors. </w:t>
      </w:r>
      <w:r>
        <w:t xml:space="preserve">AD biologics list in the ~$3-4k/month range and are judged on net cost after rebates. With </w:t>
      </w:r>
      <w:hyperlink w:history="1" r:id="rIdf4xlanzffxvt8vf_cixrc">
        <w:r>
          <w:rPr>
            <w:rStyle w:val="Hyperlink"/>
          </w:rPr>
          <w:t xml:space="preserve">Dupixent a &gt;$14B franchise</w:t>
        </w:r>
      </w:hyperlink>
      <w:r>
        <w:t xml:space="preserve">, the prize is large — but value accrues to the agent that owns 'durable remission,' the one positioning the incumbents leave open.</w:t>
      </w:r>
    </w:p>
    <w:p>
      <w:pPr>
        <w:pStyle w:val="Heading1"/>
      </w:pPr>
      <w:r>
        <w:t xml:space="preserve">9 · Value &amp; deal economics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350"/>
        <w:gridCol w:w="1300"/>
        <w:gridCol w:w="1300"/>
        <w:gridCol w:w="3060"/>
      </w:tblGrid>
      <w:tr>
        <w:trPr>
          <w:tblHeader/>
        </w:trPr>
        <w:tc>
          <w:tcPr>
            <w:tcW w:type="dxa" w:w="2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Deal / asset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Upfront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Total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0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Read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Amgen-Kyowa (rocatinlimab)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~$3B+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OX40-pathway acquisition precedent in derm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Sanofi-Kymab (amlitelimab)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~$1.1B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~$1.5B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preclin→Ph2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OX40L asset acquired ahead of Phase 3 wins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Apogee (independent)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public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Ph2/3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IL-13 long-acting + IL-13×OX40L combo; the transactable platform</w:t>
            </w:r>
          </w:p>
        </w:tc>
      </w:tr>
    </w:tbl>
    <w:p>
      <w:pPr>
        <w:spacing w:after="120"/>
      </w:pPr>
      <w:r>
        <w:t xml:space="preserve">These anchor an AD T-cell/effector asset's value. The same first dual-mechanism signal earns very different multiples by the surrounding durability and dosing data: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000"/>
        <w:gridCol w:w="2960"/>
      </w:tblGrid>
      <w:tr>
        <w:trPr>
          <w:tblHeader/>
        </w:trPr>
        <w:tc>
          <w:tcPr>
            <w:tcW w:type="dxa" w:w="44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Path (given a credible dual signal)</w:t>
            </w:r>
          </w:p>
        </w:tc>
        <w:tc>
          <w:tcPr>
            <w:tcW w:type="dxa" w:w="20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Range</w:t>
            </w:r>
          </w:p>
        </w:tc>
        <w:tc>
          <w:tcPr>
            <w:tcW w:type="dxa" w:w="29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Driver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+ dupilumab-level clearance + durable remission + infrequent dosing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$4-8B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owns the positioning the incumbents lack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+ clearance parity, no durability edge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$1-3B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another type-2 biologic in a crowded class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no advantage over monotherapy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B91C1C"/>
              </w:rPr>
              <w:t xml:space="preserve">&lt; $1B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more complex dupilumab</w:t>
            </w:r>
          </w:p>
        </w:tc>
      </w:tr>
    </w:tbl>
    <w:p>
      <w:pPr>
        <w:pStyle w:val="Heading1"/>
      </w:pPr>
      <w:r>
        <w:t xml:space="preserve">10 · Competitive geography</w:t>
      </w:r>
    </w:p>
    <w:p>
      <w:pPr>
        <w:spacing w:after="120"/>
      </w:pPr>
      <w:r>
        <w:t xml:space="preserve">Unlike IBD and respiratory, the AD frontier is led by Western pharma (Sanofi, Pfizer/Amgen, Lilly, LEO) plus US biotech (Apogee), with China-origin OX40/OX40L and IL-13 bispecific programs emerging behind them. Sanofi's ownership of both the effector (dupilumab) and T-cell (amlitelimab) leaders makes it the natural internal builder — and the most demanding competitor — of a dual agent; the transactable bispecific optionality sits with independents (Apogee) and the next wave of China-origin dual-target programs.</w:t>
      </w:r>
    </w:p>
    <w:p>
      <w:pPr>
        <w:pStyle w:val="Heading1"/>
      </w:pPr>
      <w:r>
        <w:t xml:space="preserve">11 · Scenarios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300"/>
        <w:gridCol w:w="3380"/>
      </w:tblGrid>
      <w:tr>
        <w:trPr>
          <w:tblHeader/>
        </w:trPr>
        <w:tc>
          <w:tcPr>
            <w:tcW w:type="dxa" w:w="468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Prob.</w:t>
            </w:r>
          </w:p>
        </w:tc>
        <w:tc>
          <w:tcPr>
            <w:tcW w:type="dxa" w:w="338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Implication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 — dual agent: clearance parity + durability gain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~30%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owns 'durable remission'; premium AD asset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B — clearance parity, modest durability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~35%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incremental; competes in a crowded class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 — amlitelimab/APG279 define durability first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~20%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monotherapy/combo gets there first; dual premium compresses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 — no advantage over monotherapy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~15%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value reverts to a complex me-too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B91C1C" w:sz="18"/>
              <w:bottom w:val="none"/>
              <w:right w:val="none"/>
            </w:tcBorders>
            <w:shd w:fill="FEF2F2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The value-destroying case. </w:t>
            </w:r>
            <w:r>
              <w:t xml:space="preserve">If a dual IL-4Rα×OX40L agent only matches dupilumab on clearance with no durability or dosing advantage, it is a more complex version of an entrenched, cheap-by-rebate biologic with no clear buyer. The defense is a trial designed to read the durability / drug-free-remission signal early — the one axis that justifies the combination — before committing full Phase 3 capital.</w:t>
            </w:r>
          </w:p>
        </w:tc>
      </w:tr>
    </w:tbl>
    <w:p>
      <w:pPr>
        <w:pStyle w:val="Heading1"/>
      </w:pPr>
      <w:r>
        <w:t xml:space="preserve">12 · Diligence checklist (asset-level data)</w:t>
      </w:r>
    </w:p>
    <w:p>
      <w:pPr>
        <w:spacing w:after="120"/>
      </w:pPr>
      <w:r>
        <w:t xml:space="preserve">Answered with a program's proprietary preclinical and clinical data, not public intelligence: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66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 strong answer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Dual blockade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simultaneous IL-4Rα + OX40L engagement on one molecule; potency vs benchmark dupilumab and amlitelimab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Durability signal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evidence (preclinical or early clinical) of deeper/longer responses and drug-free remission beyond effector blockade alone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Ligand-arm safety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OX40L (ligand) blockade chosen to avoid the OX40-receptor Kaposi's risk; clean immune-surveillance profile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PK / dosing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half-life supporting Q12W or longer SC dosing — the convenience half of the value case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CMC / immunogenicity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high-concentration SC formulation; low ADA; titer and developability de-risked</w:t>
            </w:r>
          </w:p>
        </w:tc>
      </w:tr>
    </w:tbl>
    <w:p>
      <w:pPr>
        <w:pStyle w:val="Heading1"/>
      </w:pPr>
      <w:r>
        <w:t xml:space="preserve">13 · Standing predictions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500"/>
        <w:gridCol w:w="1500"/>
        <w:gridCol w:w="1760"/>
      </w:tblGrid>
      <w:tr>
        <w:trPr>
          <w:tblHeader/>
        </w:trPr>
        <w:tc>
          <w:tcPr>
            <w:tcW w:type="dxa" w:w="46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Prediction</w:t>
            </w:r>
          </w:p>
        </w:tc>
        <w:tc>
          <w:tcPr>
            <w:tcW w:type="dxa" w:w="15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5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Estimate</w:t>
            </w:r>
          </w:p>
        </w:tc>
        <w:tc>
          <w:tcPr>
            <w:tcW w:type="dxa" w:w="17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Resolves (range)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 is FDA-approved in AD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approval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65-75%</w:t>
            </w:r>
          </w:p>
        </w:tc>
        <w:tc>
          <w:tcPr>
            <w:tcW w:type="dxa" w:w="17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2027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APG777 reports positive Phase 3 induction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outcome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60-70%</w:t>
            </w:r>
          </w:p>
        </w:tc>
        <w:tc>
          <w:tcPr>
            <w:tcW w:type="dxa" w:w="17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H2 2027 – 2028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first IL-4Rα×OX40L bispecific reaches the clinic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first-to-clinic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45-55%</w:t>
            </w:r>
          </w:p>
        </w:tc>
        <w:tc>
          <w:tcPr>
            <w:tcW w:type="dxa" w:w="17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2027 – 2028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Apogee is acquired by a large-cap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deal</w:t>
            </w:r>
          </w:p>
        </w:tc>
        <w:tc>
          <w:tcPr>
            <w:tcW w:type="dxa" w:w="15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35-45%</w:t>
            </w:r>
          </w:p>
        </w:tc>
        <w:tc>
          <w:tcPr>
            <w:tcW w:type="dxa" w:w="17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 – 2027</w:t>
            </w:r>
          </w:p>
        </w:tc>
      </w:tr>
    </w:tbl>
    <w:p>
      <w:pPr>
        <w:pStyle w:val="Heading1"/>
      </w:pPr>
      <w:r>
        <w:t xml:space="preserve">What would change this view</w:t>
      </w:r>
    </w:p>
    <w:p>
      <w:pPr>
        <w:spacing w:after="120"/>
      </w:pPr>
      <w:r>
        <w:t xml:space="preserve">The load-bearing conclusions and their disconfirming signals: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If we see…</w:t>
            </w:r>
          </w:p>
        </w:tc>
        <w:tc>
          <w:tcPr>
            <w:tcW w:type="dxa" w:w="53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…the view changes to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dual agent matching but not out-lasting dupilumab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single-molecule premium collapses; value &lt; $1B (Section 11)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amlitelimab/APG279 establishing durable drug-free remission first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monotherapy/combo owns the positioning; dual thesis compresses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 OX40-axis safety signal extending to ligand blockade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safety discount across the OX40L approach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oral JAKs solving their safety profile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oral-convenience threat widens; injectable differentiation narrows</w:t>
            </w:r>
          </w:p>
        </w:tc>
      </w:tr>
    </w:tbl>
    <w:p>
      <w:pPr>
        <w:spacing w:after="120"/>
      </w:pPr>
      <w:r>
        <w:rPr>
          <w:i/>
          <w:iCs/>
        </w:rPr>
        <w:t xml:space="preserve">Every quantitative claim here is footnoted to its primary source; where a claim is a hypothesis (the durability premium, the disease-modification premise) it is labelled as such, not asserted as fact.</w:t>
      </w:r>
    </w:p>
    <w:sectPr>
      <w:headerReference w:type="default" r:id="rId7"/>
      <w:footerReference w:type="default" r:id="rId8"/>
      <w:pgSz w:w="12240" w:h="15840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3"/>
        <w:szCs w:val="13"/>
      </w:rPr>
      <w:t xml:space="preserve">Source-traced · footnotes link to the primary source · Page </w:t>
    </w:r>
    <w:r>
      <w:rPr>
        <w:color w:val="64748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color w:val="64748B"/>
        <w:sz w:val="13"/>
        <w:szCs w:val="13"/>
      </w:rPr>
      <w:t xml:space="preserve"> of </w:t>
    </w:r>
    <w:r>
      <w:rPr>
        <w:color w:val="64748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1A3F8F"/>
        <w:sz w:val="14"/>
        <w:szCs w:val="14"/>
      </w:rPr>
      <w:t xml:space="preserve">◆ THE MERIDIAN</w:t>
    </w:r>
    <w:r>
      <w:rPr>
        <w:color w:val="64748B"/>
        <w:sz w:val="14"/>
        <w:szCs w:val="14"/>
      </w:rPr>
      <w:t xml:space="preserve">  ·  Area Intelligence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70" w:hanging="225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70" w:hanging="22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DEEA" w:sz="4" w:space="3"/>
      </w:pBdr>
      <w:spacing w:after="85" w:before="200"/>
      <w:outlineLvl w:val="0"/>
    </w:pPr>
    <w:rPr>
      <w:rFonts w:ascii="Arial" w:cs="Arial" w:eastAsia="Arial" w:hAnsi="Arial"/>
      <w:b/>
      <w:bCs/>
      <w:color w:val="1A3F8F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50" w:before="120"/>
      <w:outlineLvl w:val="1"/>
    </w:pPr>
    <w:rPr>
      <w:rFonts w:ascii="Arial" w:cs="Arial" w:eastAsia="Arial" w:hAnsi="Arial"/>
      <w:b/>
      <w:bCs/>
      <w:color w:val="14274A"/>
      <w:sz w:val="18"/>
      <w:szCs w:val="18"/>
    </w:rPr>
  </w:style>
  <w:style w:type="paragraph" w:styleId="Hyperlink">
    <w:name w:val="Hyperlink"/>
    <w:basedOn w:val="Normal"/>
    <w:rPr>
      <w:color w:val="1D4ED8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ycgg-3kxba7h9bcrj-zn" Type="http://schemas.openxmlformats.org/officeDocument/2006/relationships/hyperlink" Target="https://www.sanofi.com/en/media-room/press-releases/2025/2025-09-04-05-00-00-3144170" TargetMode="External"/><Relationship Id="rIdgbijenzxicu814le2yc2s" Type="http://schemas.openxmlformats.org/officeDocument/2006/relationships/hyperlink" Target="https://www.biospace.com/press-releases/apogee-therapeutics-announces-positive-16-week-part-b-induction-dose-optimization-results-from-phase-2-apex-trial-of-zumilokibart-in-moderate-to-severe-atopic-dermatitis" TargetMode="External"/><Relationship Id="rId6cv3h0p7m0qux7ejulbgb" Type="http://schemas.openxmlformats.org/officeDocument/2006/relationships/hyperlink" Target="https://pubmed.ncbi.nlm.nih.gov/30389491/" TargetMode="External"/><Relationship Id="rIdensulreg9smwc118na8is" Type="http://schemas.openxmlformats.org/officeDocument/2006/relationships/hyperlink" Target="https://www.nature.com/articles/s41572-018-0001-z" TargetMode="External"/><Relationship Id="rId9sbtb2xeofy5kfqw3jxtv" Type="http://schemas.openxmlformats.org/officeDocument/2006/relationships/hyperlink" Target="https://www.nejm.org/doi/full/10.1056/NEJMoa1610020" TargetMode="External"/><Relationship Id="rId0yjr2s6boi4phvgushi8r" Type="http://schemas.openxmlformats.org/officeDocument/2006/relationships/hyperlink" Target="https://www.sanofi.com/en/media-room/press-releases/2025/2025-09-04-05-00-00-3144170" TargetMode="External"/><Relationship Id="rIdndkznj8qoe9dsie0mfo3q" Type="http://schemas.openxmlformats.org/officeDocument/2006/relationships/hyperlink" Target="https://www.biospace.com/press-releases/apogee-therapeutics-announces-positive-16-week-part-b-induction-dose-optimization-results-from-phase-2-apex-trial-of-zumilokibart-in-moderate-to-severe-atopic-dermatitis" TargetMode="External"/><Relationship Id="rId8imncvlzbjvlz_bt4umf8" Type="http://schemas.openxmlformats.org/officeDocument/2006/relationships/hyperlink" Target="https://www.nejm.org/doi/full/10.1056/NEJMoa1610020" TargetMode="External"/><Relationship Id="rIdidfptlqwplnw_a2vtfekk" Type="http://schemas.openxmlformats.org/officeDocument/2006/relationships/hyperlink" Target="https://clinicaltrials.gov/study/NCT04986176" TargetMode="External"/><Relationship Id="rIdf4xlanzffxvt8vf_cixrc" Type="http://schemas.openxmlformats.org/officeDocument/2006/relationships/hyperlink" Target="https://www.globaldata.com/data-insights/healthcare/the-global-drug-sales-of-dupixent-1127446/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2026-06-09T21:54:54.152Z</dcterms:created>
  <dcterms:modified xsi:type="dcterms:W3CDTF">2026-06-09T21:54:54.152Z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