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F8F" w:val="clear"/>
        <w:spacing w:after="0"/>
      </w:pPr>
      <w:r>
        <w:rPr>
          <w:b/>
          <w:bCs/>
          <w:color w:val="FFFFFF"/>
          <w:sz w:val="16"/>
          <w:szCs w:val="16"/>
        </w:rPr>
        <w:t xml:space="preserve">  ◆ THE MERIDIAN · AREA INTELLIGENCE BRIEF</w:t>
      </w:r>
      <w:r>
        <w:rPr>
          <w:color w:val="D7E3F5"/>
          <w:sz w:val="13"/>
          <w:szCs w:val="13"/>
        </w:rPr>
        <w:t xml:space="preserve">                                                                                  June 9, 2026</w:t>
      </w:r>
    </w:p>
    <w:p>
      <w:pPr>
        <w:shd w:fill="1A3F8F" w:val="clear"/>
        <w:spacing w:after="40" w:before="30"/>
      </w:pPr>
      <w:r>
        <w:rPr>
          <w:b/>
          <w:bCs/>
          <w:color w:val="FFFFFF"/>
          <w:sz w:val="29"/>
          <w:szCs w:val="29"/>
        </w:rPr>
        <w:t xml:space="preserve">  TSLP × IL-33 in asthma / COPD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DEEA" w:sz="1"/>
              <w:left w:val="single" w:color="D6DEEA" w:sz="1"/>
              <w:bottom w:val="single" w:color="D6DEEA" w:sz="1"/>
              <w:right w:val="single" w:color="D6DEEA" w:sz="1"/>
            </w:tcBorders>
            <w:shd w:fill="EEF4FB" w:val="clear"/>
            <w:tcMar>
              <w:top w:type="dxa" w:w="70"/>
              <w:left w:type="dxa" w:w="38"/>
              <w:bottom w:type="dxa" w:w="70"/>
              <w:right w:type="dxa" w:w="38"/>
            </w:tcMar>
          </w:tcPr>
          <w:p>
            <w:pPr>
              <w:jc w:val="center"/>
            </w:pPr>
            <w:r>
              <w:rPr>
                <w:b/>
                <w:bCs/>
                <w:color w:val="1A3F8F"/>
                <w:sz w:val="24"/>
                <w:szCs w:val="24"/>
              </w:rPr>
              <w:t xml:space="preserve">~25.7M</w:t>
            </w:r>
          </w:p>
          <w:p>
            <w:pPr>
              <w:jc w:val="center"/>
            </w:pPr>
            <w:r>
              <w:rPr>
                <w:color w:val="64748B"/>
                <w:sz w:val="12"/>
                <w:szCs w:val="12"/>
              </w:rPr>
              <w:t xml:space="preserve">US asthma patients</w:t>
            </w:r>
          </w:p>
        </w:tc>
        <w:tc>
          <w:tcPr>
            <w:tcW w:type="dxa" w:w="1872"/>
            <w:tcBorders>
              <w:top w:val="single" w:color="D6DEEA" w:sz="1"/>
              <w:left w:val="single" w:color="D6DEEA" w:sz="1"/>
              <w:bottom w:val="single" w:color="D6DEEA" w:sz="1"/>
              <w:right w:val="single" w:color="D6DEEA" w:sz="1"/>
            </w:tcBorders>
            <w:shd w:fill="EEF4FB" w:val="clear"/>
            <w:tcMar>
              <w:top w:type="dxa" w:w="70"/>
              <w:left w:type="dxa" w:w="38"/>
              <w:bottom w:type="dxa" w:w="70"/>
              <w:right w:type="dxa" w:w="38"/>
            </w:tcMar>
          </w:tcPr>
          <w:p>
            <w:pPr>
              <w:jc w:val="center"/>
            </w:pPr>
            <w:r>
              <w:rPr>
                <w:b/>
                <w:bCs/>
                <w:color w:val="1A3F8F"/>
                <w:sz w:val="24"/>
                <w:szCs w:val="24"/>
              </w:rPr>
              <w:t xml:space="preserve">~16M</w:t>
            </w:r>
          </w:p>
          <w:p>
            <w:pPr>
              <w:jc w:val="center"/>
            </w:pPr>
            <w:r>
              <w:rPr>
                <w:color w:val="64748B"/>
                <w:sz w:val="12"/>
                <w:szCs w:val="12"/>
              </w:rPr>
              <w:t xml:space="preserve">US COPD (≈30M total)</w:t>
            </w:r>
          </w:p>
        </w:tc>
        <w:tc>
          <w:tcPr>
            <w:tcW w:type="dxa" w:w="1872"/>
            <w:tcBorders>
              <w:top w:val="single" w:color="D6DEEA" w:sz="1"/>
              <w:left w:val="single" w:color="D6DEEA" w:sz="1"/>
              <w:bottom w:val="single" w:color="D6DEEA" w:sz="1"/>
              <w:right w:val="single" w:color="D6DEEA" w:sz="1"/>
            </w:tcBorders>
            <w:shd w:fill="EEF4FB" w:val="clear"/>
            <w:tcMar>
              <w:top w:type="dxa" w:w="70"/>
              <w:left w:type="dxa" w:w="38"/>
              <w:bottom w:type="dxa" w:w="70"/>
              <w:right w:type="dxa" w:w="38"/>
            </w:tcMar>
          </w:tcPr>
          <w:p>
            <w:pPr>
              <w:jc w:val="center"/>
            </w:pPr>
            <w:r>
              <w:rPr>
                <w:b/>
                <w:bCs/>
                <w:color w:val="1A3F8F"/>
                <w:sz w:val="24"/>
                <w:szCs w:val="24"/>
              </w:rPr>
              <w:t xml:space="preserve">30-50%</w:t>
            </w:r>
          </w:p>
          <w:p>
            <w:pPr>
              <w:jc w:val="center"/>
            </w:pPr>
            <w:r>
              <w:rPr>
                <w:color w:val="64748B"/>
                <w:sz w:val="12"/>
                <w:szCs w:val="12"/>
              </w:rPr>
              <w:t xml:space="preserve">COPD with type-2 inflammation</w:t>
            </w:r>
          </w:p>
        </w:tc>
        <w:tc>
          <w:tcPr>
            <w:tcW w:type="dxa" w:w="1872"/>
            <w:tcBorders>
              <w:top w:val="single" w:color="D6DEEA" w:sz="1"/>
              <w:left w:val="single" w:color="D6DEEA" w:sz="1"/>
              <w:bottom w:val="single" w:color="D6DEEA" w:sz="1"/>
              <w:right w:val="single" w:color="D6DEEA" w:sz="1"/>
            </w:tcBorders>
            <w:shd w:fill="EEF4FB" w:val="clear"/>
            <w:tcMar>
              <w:top w:type="dxa" w:w="70"/>
              <w:left w:type="dxa" w:w="38"/>
              <w:bottom w:type="dxa" w:w="70"/>
              <w:right w:type="dxa" w:w="38"/>
            </w:tcMar>
          </w:tcPr>
          <w:p>
            <w:pPr>
              <w:jc w:val="center"/>
            </w:pPr>
            <w:r>
              <w:rPr>
                <w:b/>
                <w:bCs/>
                <w:color w:val="1A3F8F"/>
                <w:sz w:val="24"/>
                <w:szCs w:val="24"/>
              </w:rPr>
              <w:t xml:space="preserve">~$8-13B→$40B+</w:t>
            </w:r>
          </w:p>
          <w:p>
            <w:pPr>
              <w:jc w:val="center"/>
            </w:pPr>
            <w:r>
              <w:rPr>
                <w:color w:val="64748B"/>
                <w:sz w:val="12"/>
                <w:szCs w:val="12"/>
              </w:rPr>
              <w:t xml:space="preserve">respiratory-biologics market</w:t>
            </w:r>
          </w:p>
        </w:tc>
        <w:tc>
          <w:tcPr>
            <w:tcW w:type="dxa" w:w="1872"/>
            <w:tcBorders>
              <w:top w:val="single" w:color="D6DEEA" w:sz="1"/>
              <w:left w:val="single" w:color="D6DEEA" w:sz="1"/>
              <w:bottom w:val="single" w:color="D6DEEA" w:sz="1"/>
              <w:right w:val="single" w:color="D6DEEA" w:sz="1"/>
            </w:tcBorders>
            <w:shd w:fill="EEF4FB" w:val="clear"/>
            <w:tcMar>
              <w:top w:type="dxa" w:w="70"/>
              <w:left w:type="dxa" w:w="38"/>
              <w:bottom w:type="dxa" w:w="70"/>
              <w:right w:type="dxa" w:w="38"/>
            </w:tcMar>
          </w:tcPr>
          <w:p>
            <w:pPr>
              <w:jc w:val="center"/>
            </w:pPr>
            <w:r>
              <w:rPr>
                <w:b/>
                <w:bCs/>
                <w:color w:val="1A3F8F"/>
                <w:sz w:val="24"/>
                <w:szCs w:val="24"/>
              </w:rPr>
              <w:t xml:space="preserve">2</w:t>
            </w:r>
          </w:p>
          <w:p>
            <w:pPr>
              <w:jc w:val="center"/>
            </w:pPr>
            <w:r>
              <w:rPr>
                <w:color w:val="64748B"/>
                <w:sz w:val="12"/>
                <w:szCs w:val="12"/>
              </w:rPr>
              <w:t xml:space="preserve">alarmins, one molecule</w:t>
            </w:r>
          </w:p>
        </w:tc>
      </w:tr>
    </w:tbl>
    <w:p>
      <w:pPr>
        <w:pStyle w:val="Heading1"/>
      </w:pPr>
      <w:r>
        <w:t xml:space="preserve">The landscape in brief</w:t>
      </w:r>
    </w:p>
    <w:p>
      <w:pPr>
        <w:spacing w:after="120"/>
      </w:pPr>
      <w:r>
        <w:t xml:space="preserve">Type-2 airway disease is treated downstream — anti-IgE, anti-IL-5/5R, and anti-IL-4Rα (dupilumab) — and, more recently, upstream at the epithelial </w:t>
      </w:r>
      <w:r>
        <w:rPr>
          <w:b/>
          <w:bCs/>
        </w:rPr>
        <w:t xml:space="preserve">alarmins</w:t>
      </w:r>
      <w:r>
        <w:t xml:space="preserve">: </w:t>
      </w:r>
      <w:r>
        <w:rPr>
          <w:b/>
          <w:bCs/>
        </w:rPr>
        <w:t xml:space="preserve">tezepelumab</w:t>
      </w:r>
      <w:r>
        <w:t xml:space="preserve"> (anti-TSLP) is approved in severe asthma and works across phenotypes, and anti-IL-33 agents (</w:t>
      </w:r>
      <w:r>
        <w:rPr>
          <w:b/>
          <w:bCs/>
        </w:rPr>
        <w:t xml:space="preserve">tozorakimab</w:t>
      </w:r>
      <w:r>
        <w:t xml:space="preserve">, </w:t>
      </w:r>
      <w:r>
        <w:rPr>
          <w:b/>
          <w:bCs/>
        </w:rPr>
        <w:t xml:space="preserve">itepekimab</w:t>
      </w:r>
      <w:r>
        <w:t xml:space="preserve">) are in late-stage COPD. The open question is whether blocking </w:t>
      </w:r>
      <w:r>
        <w:rPr>
          <w:b/>
          <w:bCs/>
        </w:rPr>
        <w:t xml:space="preserve">both</w:t>
      </w:r>
      <w:r>
        <w:t xml:space="preserve"> alarmins — TSLP and IL-33 — in a single molecule produces broader, more durable exacerbation control than either alone, especially in COPD and in the low-eosinophil / smoker populations where single agents have read inconsistently. No dual-alarmin asset has reported human efficacy; the lead, </w:t>
      </w:r>
      <w:hyperlink w:history="1" r:id="rIdqvbffzzvos4b8v3oiudry">
        <w:r>
          <w:rPr>
            <w:rStyle w:val="Hyperlink"/>
          </w:rPr>
          <w:t xml:space="preserve">Qyuns' QX031N, was licensed to Roche for up to ~$1.07B at the preclinical stage</w:t>
        </w:r>
      </w:hyperlink>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9A6A00" w:sz="18"/>
              <w:bottom w:val="none"/>
              <w:right w:val="none"/>
            </w:tcBorders>
            <w:shd w:fill="FFF7E6" w:val="clear"/>
            <w:tcMar>
              <w:top w:type="dxa" w:w="80"/>
              <w:left w:type="dxa" w:w="150"/>
              <w:bottom w:type="dxa" w:w="80"/>
              <w:right w:type="dxa" w:w="130"/>
            </w:tcMar>
          </w:tcPr>
          <w:p>
            <w:r>
              <w:rPr>
                <w:b/>
                <w:bCs/>
              </w:rPr>
              <w:t xml:space="preserve">State of validation: </w:t>
            </w:r>
            <w:r>
              <w:t xml:space="preserve">TSLP blockade is approved (asthma) and IL-33 blockade is positive in Phase 3 (COPD); the dual-alarmin bispecific is unproven but already deal-validated. The opportunity is a single upstream agent that controls exacerbations across asthma and COPD — including type-2-low and smoker subgroups — better than today's single-pathway biologics.</w:t>
            </w:r>
          </w:p>
        </w:tc>
      </w:tr>
    </w:tbl>
    <w:p>
      <w:pPr>
        <w:pStyle w:val="Heading1"/>
      </w:pPr>
      <w:r>
        <w:t xml:space="preserve">What determines value here</w:t>
      </w:r>
    </w:p>
    <w:p>
      <w:pPr>
        <w:spacing w:after="120"/>
      </w:pPr>
      <w:r>
        <w:t xml:space="preserve">The axes on which a TSLP / IL-33 asset is judged: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rPr>
          <w:tblHeader/>
        </w:trPr>
        <w:tc>
          <w:tcPr>
            <w:tcW w:type="dxa" w:w="21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Axis</w:t>
            </w:r>
          </w:p>
        </w:tc>
        <w:tc>
          <w:tcPr>
            <w:tcW w:type="dxa" w:w="721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Specifics</w:t>
            </w:r>
          </w:p>
        </w:tc>
      </w:tr>
      <w:tr>
        <w:trPr>
          <w:tblHeader w:val="false"/>
        </w:trPr>
        <w:tc>
          <w:tcPr>
            <w:tcW w:type="dxa" w:w="21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Exacerbation efficacy</w:t>
            </w:r>
          </w:p>
        </w:tc>
        <w:tc>
          <w:tcPr>
            <w:tcW w:type="dxa" w:w="72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the registrational currency — annualized exacerbation rate in asthma and moderate/severe AECOPD in COPD; must beat tezepelumab (asthma AAER −56%) and dupilumab (COPD −30-34%) in the relevant population.</w:t>
            </w:r>
          </w:p>
        </w:tc>
      </w:tr>
      <w:tr>
        <w:trPr>
          <w:tblHeader w:val="false"/>
        </w:trPr>
        <w:tc>
          <w:tcPr>
            <w:tcW w:type="dxa" w:w="21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Phenotype breadth</w:t>
            </w:r>
          </w:p>
        </w:tc>
        <w:tc>
          <w:tcPr>
            <w:tcW w:type="dxa" w:w="72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upstream alarmin blockade should work beyond high-eosinophil disease (where anti-IL-5 lives) into type-2-low, mixed and smoker COPD — the unmet segment; breadth is the alarmin class's core claim.</w:t>
            </w:r>
          </w:p>
        </w:tc>
      </w:tr>
      <w:tr>
        <w:trPr>
          <w:tblHeader w:val="false"/>
        </w:trPr>
        <w:tc>
          <w:tcPr>
            <w:tcW w:type="dxa" w:w="21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Dosing / format</w:t>
            </w:r>
          </w:p>
        </w:tc>
        <w:tc>
          <w:tcPr>
            <w:tcW w:type="dxa" w:w="72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infrequent SC (verekitug targets ~Q24W; tezepelumab Q4W) lowers burden in a chronic, primary-care-adjacent disease — a real differentiator vs Q2-4W incumbents.</w:t>
            </w:r>
          </w:p>
        </w:tc>
      </w:tr>
      <w:tr>
        <w:trPr>
          <w:tblHeader w:val="false"/>
        </w:trPr>
        <w:tc>
          <w:tcPr>
            <w:tcW w:type="dxa" w:w="21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COPD readability</w:t>
            </w:r>
          </w:p>
        </w:tc>
        <w:tc>
          <w:tcPr>
            <w:tcW w:type="dxa" w:w="72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COPD exacerbation endpoints are noisy and single alarmins have read inconsistently (AERIFY); a credible COPD effect is the scarce, value-defining datapoint.</w:t>
            </w:r>
          </w:p>
        </w:tc>
      </w:tr>
      <w:tr>
        <w:trPr>
          <w:tblHeader w:val="false"/>
        </w:trPr>
        <w:tc>
          <w:tcPr>
            <w:tcW w:type="dxa" w:w="21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Evidence bundle</w:t>
            </w:r>
          </w:p>
        </w:tc>
        <w:tc>
          <w:tcPr>
            <w:tcW w:type="dxa" w:w="72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safety in a comorbid, older COPD population, immunogenicity, and CMC for a bispecific move the deal multiple alongside the exacerbation number.</w:t>
            </w:r>
          </w:p>
        </w:tc>
      </w:tr>
      <w:tr>
        <w:trPr>
          <w:tblHeader w:val="false"/>
        </w:trPr>
        <w:tc>
          <w:tcPr>
            <w:tcW w:type="dxa" w:w="21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Competitive set</w:t>
            </w:r>
          </w:p>
        </w:tc>
        <w:tc>
          <w:tcPr>
            <w:tcW w:type="dxa" w:w="72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target-space (other TSLP/IL-33 assets) and indication-space (dupilumab, anti-IL-5, inhaled triple therapy, ensifentrine) — increasingly crowded in asthma, opening in COPD.</w:t>
            </w:r>
          </w:p>
        </w:tc>
      </w:tr>
    </w:tbl>
    <w:p>
      <w:pPr>
        <w:spacing w:after="120"/>
      </w:pPr>
      <w:r>
        <w:rPr>
          <w:b/>
          <w:bCs/>
        </w:rPr>
        <w:t xml:space="preserve">Field view. </w:t>
      </w:r>
      <w:r>
        <w:t xml:space="preserve">The literature now frames TSLP and IL-33 as complementary, non-redundant epithelial alarmins, and reviews explicitly flag </w:t>
      </w:r>
      <w:hyperlink w:history="1" r:id="rIdezcbruxoxfcac_qejdg7d">
        <w:r>
          <w:rPr>
            <w:rStyle w:val="Hyperlink"/>
          </w:rPr>
          <w:t xml:space="preserve">alarmin-targeted bispecific and combination therapy as the next step</w:t>
        </w:r>
      </w:hyperlink>
      <w:r>
        <w:t xml:space="preserve"> beyond single-pathway biologics. Regeneron is testing anti-IL-33 + anti-IL-4Rα combinations directly; a TSLP×IL-33 bispecific is the single-molecule version of the same upstream thesis. The unresolved point is COPD: single alarmins have improved lung function but </w:t>
      </w:r>
      <w:hyperlink w:history="1" r:id="rIde-lownffb9ltbamreb94w">
        <w:r>
          <w:rPr>
            <w:rStyle w:val="Hyperlink"/>
          </w:rPr>
          <w:t xml:space="preserve">not consistently hit exacerbation endpoints</w:t>
        </w:r>
      </w:hyperlink>
      <w:r>
        <w:t xml:space="preserve"> — the bar a dual agent must clear to justify itself.</w:t>
      </w:r>
    </w:p>
    <w:p>
      <w:pPr>
        <w:pStyle w:val="Heading1"/>
      </w:pPr>
      <w:r>
        <w:t xml:space="preserve">1 · Patient &amp; disease (asthma and COPD)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350"/>
        <w:gridCol w:w="1350"/>
        <w:gridCol w:w="4610"/>
      </w:tblGrid>
      <w:tr>
        <w:trPr>
          <w:tblHeader/>
        </w:trPr>
        <w:tc>
          <w:tcPr>
            <w:tcW w:type="dxa" w:w="20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
            </w:r>
          </w:p>
        </w:tc>
        <w:tc>
          <w:tcPr>
            <w:tcW w:type="dxa" w:w="13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Asthma</w:t>
            </w:r>
          </w:p>
        </w:tc>
        <w:tc>
          <w:tcPr>
            <w:tcW w:type="dxa" w:w="13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COPD</w:t>
            </w:r>
          </w:p>
        </w:tc>
        <w:tc>
          <w:tcPr>
            <w:tcW w:type="dxa" w:w="461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Note</w:t>
            </w:r>
          </w:p>
        </w:tc>
      </w:tr>
      <w:tr>
        <w:trPr>
          <w:tblHeader w:val="false"/>
        </w:trPr>
        <w:tc>
          <w:tcPr>
            <w:tcW w:type="dxa" w:w="20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US patients</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~25.7M</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~16M dx (≈30M)</w:t>
            </w:r>
          </w:p>
        </w:tc>
        <w:tc>
          <w:tcPr>
            <w:tcW w:type="dxa" w:w="46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COPD ~390M worldwide</w:t>
            </w:r>
          </w:p>
        </w:tc>
      </w:tr>
      <w:tr>
        <w:trPr>
          <w:tblHeader w:val="false"/>
        </w:trPr>
        <w:tc>
          <w:tcPr>
            <w:tcW w:type="dxa" w:w="20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Addressable</w:t>
            </w:r>
          </w:p>
        </w:tc>
        <w:tc>
          <w:tcPr>
            <w:tcW w:type="dxa" w:w="1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severe ~15%</w:t>
            </w:r>
          </w:p>
        </w:tc>
        <w:tc>
          <w:tcPr>
            <w:tcW w:type="dxa" w:w="1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type-2 ~30-50%</w:t>
            </w:r>
          </w:p>
        </w:tc>
        <w:tc>
          <w:tcPr>
            <w:tcW w:type="dxa" w:w="46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biologic-eligible severe/eos subset</w:t>
            </w:r>
          </w:p>
        </w:tc>
      </w:tr>
      <w:tr>
        <w:trPr>
          <w:tblHeader w:val="false"/>
        </w:trPr>
        <w:tc>
          <w:tcPr>
            <w:tcW w:type="dxa" w:w="20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Type-2 fraction</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eos ~50-60% of severe</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eos ≥300: ~30-40%</w:t>
            </w:r>
          </w:p>
        </w:tc>
        <w:tc>
          <w:tcPr>
            <w:tcW w:type="dxa" w:w="46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TSLP works below the eos threshold</w:t>
            </w:r>
          </w:p>
        </w:tc>
      </w:tr>
      <w:tr>
        <w:trPr>
          <w:tblHeader w:val="false"/>
        </w:trPr>
        <w:tc>
          <w:tcPr>
            <w:tcW w:type="dxa" w:w="20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Registrational endpoint</w:t>
            </w:r>
          </w:p>
        </w:tc>
        <w:tc>
          <w:tcPr>
            <w:tcW w:type="dxa" w:w="1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annualized exacerbation rate, FEV1</w:t>
            </w:r>
          </w:p>
        </w:tc>
        <w:tc>
          <w:tcPr>
            <w:tcW w:type="dxa" w:w="1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moderate/severe AECOPD, FEV1, SGRQ</w:t>
            </w:r>
          </w:p>
        </w:tc>
        <w:tc>
          <w:tcPr>
            <w:tcW w:type="dxa" w:w="46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COPD endpoints noisier, longer trials</w:t>
            </w:r>
          </w:p>
        </w:tc>
      </w:tr>
      <w:tr>
        <w:trPr>
          <w:tblHeader w:val="false"/>
        </w:trPr>
        <w:tc>
          <w:tcPr>
            <w:tcW w:type="dxa" w:w="20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Distinct challenge</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phenotype heterogeneity</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smokers, comorbidity, mixed inflammation</w:t>
            </w:r>
          </w:p>
        </w:tc>
        <w:tc>
          <w:tcPr>
            <w:tcW w:type="dxa" w:w="46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COPD is the larger, harder, opening market</w:t>
            </w:r>
          </w:p>
        </w:tc>
      </w:tr>
    </w:tbl>
    <w:p>
      <w:pPr>
        <w:spacing w:after="120"/>
      </w:pPr>
      <w:r>
        <w:t xml:space="preserve">Both diseases are exacerbation-driven and </w:t>
      </w:r>
      <w:hyperlink w:history="1" r:id="rId-jwrbx_8ozttoxvj3qcbj">
        <w:r>
          <w:rPr>
            <w:rStyle w:val="Hyperlink"/>
          </w:rPr>
          <w:t xml:space="preserve">eosinophilic in a large minority</w:t>
        </w:r>
      </w:hyperlink>
      <w:r>
        <w:t xml:space="preserve">; the unmet need sits where current biologics stop. In asthma, anti-IL-5 agents help high-eosinophil patients but leave type-2-low disease; </w:t>
      </w:r>
      <w:r>
        <w:rPr>
          <w:b/>
          <w:bCs/>
        </w:rPr>
        <w:t xml:space="preserve">tezepelumab's value was proving an upstream agent works across phenotypes</w:t>
      </w:r>
      <w:r>
        <w:t xml:space="preserve">. In COPD — three-times-deadlier and far larger — only dupilumab is approved (eos-high), and the alarmin agents have struggled to convert lung-function gains into consistent exacerbation reductions. That conversion, across the broad COPD population, is the prize.</w:t>
      </w:r>
    </w:p>
    <w:p>
      <w:pPr>
        <w:spacing w:after="120"/>
      </w:pPr>
      <w:r>
        <w:rPr>
          <w:b/>
          <w:bCs/>
        </w:rPr>
        <w:t xml:space="preserve">The patient, not just the disease. </w:t>
      </w:r>
      <w:r>
        <w:t xml:space="preserve">Severe-asthma and COPD patients are older, often on triple inhaled therapy plus steroid bursts, with frequent exacerbations, ER visits and progressive loss of lung function. 'Better,' from their side, is fewer exacerbations and hospitalizations, less steroid exposure, and a dosing schedule (ideally a few injections a year) that fits chronic primary-care management — which is exactly the convenience axis a long-acting alarmin agent competes on.</w:t>
      </w:r>
    </w:p>
    <w:p>
      <w:pPr>
        <w:spacing w:after="120"/>
      </w:pPr>
      <w:r>
        <w:rPr>
          <w:b/>
          <w:bCs/>
        </w:rPr>
        <w:t xml:space="preserve">Why a bispecific. </w:t>
      </w:r>
      <w:r>
        <w:t xml:space="preserve">TSLP sits at the top of the epithelial cascade and drives broad type-2 plus some non-type-2 inflammation; IL-33 drives ILC2 / mast-cell / eosinophil activation and is implicated in viral and smoke-triggered exacerbations. Blocking one leaves the other's drive intact — which is why Regeneron pairs anti-IL-33 with dupilumab. One molecule blocking both alarmins is the most upstream intervention available, and the mechanistic case for breadth across asthma and COPD.</w:t>
      </w:r>
    </w:p>
    <w:p>
      <w:pPr>
        <w:pStyle w:val="Heading1"/>
      </w:pPr>
      <w:r>
        <w:t xml:space="preserve">2 · Lines of therapy &amp; where alarmin blockade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905"/>
        <w:gridCol w:w="3905"/>
      </w:tblGrid>
      <w:tr>
        <w:trPr>
          <w:tblHeader/>
        </w:trPr>
        <w:tc>
          <w:tcPr>
            <w:tcW w:type="dxa" w:w="15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Line</w:t>
            </w:r>
          </w:p>
        </w:tc>
        <w:tc>
          <w:tcPr>
            <w:tcW w:type="dxa" w:w="3905"/>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Asthma</w:t>
            </w:r>
          </w:p>
        </w:tc>
        <w:tc>
          <w:tcPr>
            <w:tcW w:type="dxa" w:w="3905"/>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COPD</w:t>
            </w:r>
          </w:p>
        </w:tc>
      </w:tr>
      <w:tr>
        <w:trPr>
          <w:tblHeader w:val="false"/>
        </w:trPr>
        <w:tc>
          <w:tcPr>
            <w:tcW w:type="dxa" w:w="15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Maintenance</w:t>
            </w:r>
          </w:p>
        </w:tc>
        <w:tc>
          <w:tcPr>
            <w:tcW w:type="dxa" w:w="3905"/>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ICS → ICS/LABA → triple (add LAMA)</w:t>
            </w:r>
          </w:p>
        </w:tc>
        <w:tc>
          <w:tcPr>
            <w:tcW w:type="dxa" w:w="3905"/>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LABA+LAMA → triple ICS/LABA/LAMA</w:t>
            </w:r>
          </w:p>
        </w:tc>
      </w:tr>
      <w:tr>
        <w:trPr>
          <w:tblHeader w:val="false"/>
        </w:trPr>
        <w:tc>
          <w:tcPr>
            <w:tcW w:type="dxa" w:w="15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Add-on (non-biologic)</w:t>
            </w:r>
          </w:p>
        </w:tc>
        <w:tc>
          <w:tcPr>
            <w:tcW w:type="dxa" w:w="3905"/>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LAMA, LTRA</w:t>
            </w:r>
          </w:p>
        </w:tc>
        <w:tc>
          <w:tcPr>
            <w:tcW w:type="dxa" w:w="3905"/>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ensifentrine (PDE3/4), roflumilast, azithromycin</w:t>
            </w:r>
          </w:p>
        </w:tc>
      </w:tr>
      <w:tr>
        <w:trPr>
          <w:tblHeader w:val="false"/>
        </w:trPr>
        <w:tc>
          <w:tcPr>
            <w:tcW w:type="dxa" w:w="15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Biologic (eligible)</w:t>
            </w:r>
          </w:p>
        </w:tc>
        <w:tc>
          <w:tcPr>
            <w:tcW w:type="dxa" w:w="3905"/>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anti-IgE; anti-IL-5/5R; anti-IL-4Rα (dupilumab); anti-TSLP (tezepelumab — broadest)</w:t>
            </w:r>
          </w:p>
        </w:tc>
        <w:tc>
          <w:tcPr>
            <w:tcW w:type="dxa" w:w="3905"/>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anti-IL-4Rα (dupilumab, eos+); anti-IL-33 (itepekimab/tozorakimab, late-stage)</w:t>
            </w:r>
          </w:p>
        </w:tc>
      </w:tr>
      <w:tr>
        <w:trPr>
          <w:tblHeader w:val="false"/>
        </w:trPr>
        <w:tc>
          <w:tcPr>
            <w:tcW w:type="dxa" w:w="15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Alarmin agent's entry</w:t>
            </w:r>
          </w:p>
        </w:tc>
        <w:tc>
          <w:tcPr>
            <w:tcW w:type="dxa" w:w="3905"/>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severe, across phenotypes — incl. type-2-low</w:t>
            </w:r>
          </w:p>
        </w:tc>
        <w:tc>
          <w:tcPr>
            <w:tcW w:type="dxa" w:w="3905"/>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the opening frontier; broad-population exacerbation control is the white space</w:t>
            </w:r>
          </w:p>
        </w:tc>
      </w:tr>
    </w:tbl>
    <w:p>
      <w:pPr>
        <w:spacing w:after="120"/>
      </w:pPr>
      <w:r>
        <w:t xml:space="preserve">In asthma the biologic shelf is crowded and the alarmin agent must beat entrenched options on breadth and dosing. In COPD the shelf is nearly empty — dupilumab (eos-high) and the inhaled add-ons — so an upstream agent that works across the broad COPD population, not just eos-high, captures the larger unmet need. Value scales with how much of COPD an asset can credibly address.</w:t>
      </w:r>
    </w:p>
    <w:p>
      <w:pPr>
        <w:pStyle w:val="Heading1"/>
      </w:pPr>
      <w:r>
        <w:t xml:space="preserve">3 · The scientific thesis</w:t>
      </w:r>
    </w:p>
    <w:p>
      <w:pPr>
        <w:pStyle w:val="Heading2"/>
      </w:pPr>
      <w:r>
        <w:t xml:space="preserve">The targets, precisely</w:t>
      </w:r>
    </w:p>
    <w:p>
      <w:pPr>
        <w:spacing w:after="120"/>
      </w:pPr>
      <w:r>
        <w:t xml:space="preserve">Both targets are epithelial </w:t>
      </w:r>
      <w:r>
        <w:rPr>
          <w:b/>
          <w:bCs/>
        </w:rPr>
        <w:t xml:space="preserve">alarmins</w:t>
      </w:r>
      <w:r>
        <w:t xml:space="preserve"> — released by the airway lining on insult — and both are human-genetically validated in asthma. </w:t>
      </w:r>
      <w:r>
        <w:rPr>
          <w:b/>
          <w:bCs/>
        </w:rPr>
        <w:t xml:space="preserve">TSLP</w:t>
      </w:r>
      <w:r>
        <w:t xml:space="preserve"> (gene TSLP) signals through the TSLPR / IL-7Rα receptor complex and sits at the very top of the type-2 cascade, upstream of IgE, IL-5 and IL-4/13. </w:t>
      </w:r>
      <w:r>
        <w:rPr>
          <w:b/>
          <w:bCs/>
        </w:rPr>
        <w:t xml:space="preserve">IL-33</w:t>
      </w:r>
      <w:r>
        <w:t xml:space="preserve"> (gene IL33) signals through </w:t>
      </w:r>
      <w:hyperlink w:history="1" r:id="rId4pv2rurknzpylf4zvqdkf">
        <w:r>
          <w:rPr>
            <w:rStyle w:val="Hyperlink"/>
          </w:rPr>
          <w:t xml:space="preserve">ST2 (the IL1RL1 gene product), one of the most replicated asthma GWAS loci</w:t>
        </w:r>
      </w:hyperlink>
      <w:r>
        <w:t xml:space="preserve">, and is buffered by a soluble ST2 decoy; it drives ILC2, mast-cell and eosinophil activation and is implicated in viral and smoke-triggered exacerbations. </w:t>
      </w:r>
      <w:r>
        <w:rPr>
          <w:b/>
          <w:bCs/>
        </w:rPr>
        <w:t xml:space="preserve">On-target ceiling: </w:t>
      </w:r>
      <w:r>
        <w:t xml:space="preserve">both alarmins have homeostatic/anti-viral roles, so the theoretical limit on dual blockade is infection or barrier effects — the safety question a dual agent's COPD program must answer in an older, comorbid population.</w:t>
      </w:r>
    </w:p>
    <w:p>
      <w:pPr>
        <w:pStyle w:val="Heading2"/>
      </w:pPr>
      <w:r>
        <w:t xml:space="preserve">Why both, and what is already proven</w:t>
      </w:r>
    </w:p>
    <w:p>
      <w:pPr>
        <w:spacing w:after="120"/>
      </w:pPr>
      <w:r>
        <w:t xml:space="preserve">Single-alarmin blockade is validated but partial. </w:t>
      </w:r>
      <w:hyperlink w:history="1" r:id="rIdafuj21un0intu8ghfq307">
        <w:r>
          <w:rPr>
            <w:rStyle w:val="Hyperlink"/>
          </w:rPr>
          <w:t xml:space="preserve">Tezepelumab (anti-TSLP) reduced asthma exacerbations 56% across phenotypes</w:t>
        </w:r>
      </w:hyperlink>
      <w:r>
        <w:t xml:space="preserve">, proving upstream blockade works below the eosinophil threshold where anti-IL-5 fails. Anti-IL-33 agents improve lung function and help former smokers in COPD, but </w:t>
      </w:r>
      <w:hyperlink w:history="1" r:id="rIdzvee6zofjmkxu0t_8no_u">
        <w:r>
          <w:rPr>
            <w:rStyle w:val="Hyperlink"/>
          </w:rPr>
          <w:t xml:space="preserve">have read inconsistently on exacerbations</w:t>
        </w:r>
      </w:hyperlink>
      <w:r>
        <w:t xml:space="preserve">. The two alarmins are non-redundant: TSLP and IL-33 activate overlapping but distinct downstream programs, and neither fully suppresses the other. Dual blockade is the mechanism-level response to the breadth-and-durability gap single agents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9A6A00" w:sz="18"/>
              <w:bottom w:val="none"/>
              <w:right w:val="none"/>
            </w:tcBorders>
            <w:shd w:fill="FFF7E6" w:val="clear"/>
            <w:tcMar>
              <w:top w:type="dxa" w:w="80"/>
              <w:left w:type="dxa" w:w="150"/>
              <w:bottom w:type="dxa" w:w="80"/>
              <w:right w:type="dxa" w:w="130"/>
            </w:tcMar>
          </w:tcPr>
          <w:p>
            <w:r>
              <w:rPr>
                <w:b/>
                <w:bCs/>
              </w:rPr>
              <w:t xml:space="preserve">Testable conclusion. </w:t>
            </w:r>
            <w:r>
              <w:t xml:space="preserve">If TSLP and IL-33 drive partly independent inflammatory programs, simultaneous blockade should control exacerbations across a broader population — including type-2-low and smoker COPD — than either alarmin alone. It is falsifiable: if a dual agent does not beat tezepelumab (asthma) or convert to a consistent COPD exacerbation reduction, the single-molecule premium collapses. </w:t>
            </w:r>
            <w:hyperlink w:history="1" r:id="rIdyyl5iw1rlnxjzfjiqmsek">
              <w:r>
                <w:rPr>
                  <w:rStyle w:val="Hyperlink"/>
                </w:rPr>
                <w:t xml:space="preserve">QX031N is the first asset positioned to test it</w:t>
              </w:r>
            </w:hyperlink>
            <w:r>
              <w:t xml:space="preserve">; no dual-alarmin efficacy has been reported.</w:t>
            </w:r>
          </w:p>
        </w:tc>
      </w:tr>
    </w:tbl>
    <w:p>
      <w:pPr>
        <w:pStyle w:val="Heading1"/>
      </w:pPr>
      <w:r>
        <w:t xml:space="preserve">4 · Competition &amp; data</w:t>
      </w:r>
    </w:p>
    <w:p>
      <w:pPr>
        <w:spacing w:after="120"/>
      </w:pPr>
      <w:r>
        <w:t xml:space="preserve">Efficacy figures are from each agent's pivotal population (not head-to-head — endpoints, diseases and trials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060"/>
        <w:gridCol w:w="3100"/>
        <w:gridCol w:w="1400"/>
      </w:tblGrid>
      <w:tr>
        <w:trPr>
          <w:tblHeader/>
        </w:trPr>
        <w:tc>
          <w:tcPr>
            <w:tcW w:type="dxa" w:w="19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Asset</w:t>
            </w:r>
          </w:p>
        </w:tc>
        <w:tc>
          <w:tcPr>
            <w:tcW w:type="dxa" w:w="19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Owner (originator)</w:t>
            </w:r>
          </w:p>
        </w:tc>
        <w:tc>
          <w:tcPr>
            <w:tcW w:type="dxa" w:w="106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Stage</w:t>
            </w:r>
          </w:p>
        </w:tc>
        <w:tc>
          <w:tcPr>
            <w:tcW w:type="dxa" w:w="31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Target / format</w:t>
            </w:r>
          </w:p>
        </w:tc>
        <w:tc>
          <w:tcPr>
            <w:tcW w:type="dxa" w:w="14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Key efficacy</w:t>
            </w:r>
          </w:p>
        </w:tc>
      </w:tr>
      <w:tr>
        <w:trPr>
          <w:tblHeader w:val="false"/>
        </w:trPr>
        <w:tc>
          <w:tcPr>
            <w:tcW w:type="dxa" w:w="19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tezepelumab</w:t>
            </w:r>
          </w:p>
        </w:tc>
        <w:tc>
          <w:tcPr>
            <w:tcW w:type="dxa" w:w="19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AstraZeneca / Amgen</w:t>
            </w:r>
          </w:p>
        </w:tc>
        <w:tc>
          <w:tcPr>
            <w:tcW w:type="dxa" w:w="10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Approved (asthma)</w:t>
            </w:r>
          </w:p>
        </w:tc>
        <w:tc>
          <w:tcPr>
            <w:tcW w:type="dxa" w:w="31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anti-TSLP mAb, SC Q4W</w:t>
            </w:r>
          </w:p>
        </w:tc>
        <w:tc>
          <w:tcPr>
            <w:tcW w:type="dxa" w:w="14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asthma AAER −56%</w:t>
            </w:r>
          </w:p>
        </w:tc>
      </w:tr>
      <w:tr>
        <w:trPr>
          <w:tblHeader w:val="false"/>
        </w:trPr>
        <w:tc>
          <w:tcPr>
            <w:tcW w:type="dxa" w:w="19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dupilumab</w:t>
            </w:r>
          </w:p>
        </w:tc>
        <w:tc>
          <w:tcPr>
            <w:tcW w:type="dxa" w:w="19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Sanofi / Regeneron</w:t>
            </w:r>
          </w:p>
        </w:tc>
        <w:tc>
          <w:tcPr>
            <w:tcW w:type="dxa" w:w="10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Approved (COPD eos+)</w:t>
            </w:r>
          </w:p>
        </w:tc>
        <w:tc>
          <w:tcPr>
            <w:tcW w:type="dxa" w:w="31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anti-IL-4Rα mAb, SC Q2W</w:t>
            </w:r>
          </w:p>
        </w:tc>
        <w:tc>
          <w:tcPr>
            <w:tcW w:type="dxa" w:w="14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COPD −30-34%</w:t>
            </w:r>
          </w:p>
        </w:tc>
      </w:tr>
      <w:tr>
        <w:trPr>
          <w:tblHeader w:val="false"/>
        </w:trPr>
        <w:tc>
          <w:tcPr>
            <w:tcW w:type="dxa" w:w="19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tozorakimab</w:t>
            </w:r>
          </w:p>
        </w:tc>
        <w:tc>
          <w:tcPr>
            <w:tcW w:type="dxa" w:w="19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AstraZeneca</w:t>
            </w:r>
          </w:p>
        </w:tc>
        <w:tc>
          <w:tcPr>
            <w:tcW w:type="dxa" w:w="10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Ph3 → NDA (COPD)</w:t>
            </w:r>
          </w:p>
        </w:tc>
        <w:tc>
          <w:tcPr>
            <w:tcW w:type="dxa" w:w="31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anti-IL-33 mAb, SC</w:t>
            </w:r>
          </w:p>
        </w:tc>
        <w:tc>
          <w:tcPr>
            <w:tcW w:type="dxa" w:w="14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Ph3 COPD positive</w:t>
            </w:r>
          </w:p>
        </w:tc>
      </w:tr>
      <w:tr>
        <w:trPr>
          <w:tblHeader w:val="false"/>
        </w:trPr>
        <w:tc>
          <w:tcPr>
            <w:tcW w:type="dxa" w:w="19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itepekimab</w:t>
            </w:r>
          </w:p>
        </w:tc>
        <w:tc>
          <w:tcPr>
            <w:tcW w:type="dxa" w:w="19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Regeneron / Sanofi</w:t>
            </w:r>
          </w:p>
        </w:tc>
        <w:tc>
          <w:tcPr>
            <w:tcW w:type="dxa" w:w="10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Ph3 (COPD)</w:t>
            </w:r>
          </w:p>
        </w:tc>
        <w:tc>
          <w:tcPr>
            <w:tcW w:type="dxa" w:w="31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anti-IL-33 mAb, SC</w:t>
            </w:r>
          </w:p>
        </w:tc>
        <w:tc>
          <w:tcPr>
            <w:tcW w:type="dxa" w:w="14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AERIFY mixed</w:t>
            </w:r>
          </w:p>
        </w:tc>
      </w:tr>
      <w:tr>
        <w:trPr>
          <w:tblHeader w:val="false"/>
        </w:trPr>
        <w:tc>
          <w:tcPr>
            <w:tcW w:type="dxa" w:w="19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astegolimab</w:t>
            </w:r>
          </w:p>
        </w:tc>
        <w:tc>
          <w:tcPr>
            <w:tcW w:type="dxa" w:w="19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Roche</w:t>
            </w:r>
          </w:p>
        </w:tc>
        <w:tc>
          <w:tcPr>
            <w:tcW w:type="dxa" w:w="10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Ph3 (asthma/COPD)</w:t>
            </w:r>
          </w:p>
        </w:tc>
        <w:tc>
          <w:tcPr>
            <w:tcW w:type="dxa" w:w="31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anti-ST2 mAb, SC</w:t>
            </w:r>
          </w:p>
        </w:tc>
        <w:tc>
          <w:tcPr>
            <w:tcW w:type="dxa" w:w="14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Ph3 ongoing</w:t>
            </w:r>
          </w:p>
        </w:tc>
      </w:tr>
      <w:tr>
        <w:trPr>
          <w:tblHeader w:val="false"/>
        </w:trPr>
        <w:tc>
          <w:tcPr>
            <w:tcW w:type="dxa" w:w="19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verekitug</w:t>
            </w:r>
          </w:p>
        </w:tc>
        <w:tc>
          <w:tcPr>
            <w:tcW w:type="dxa" w:w="19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Upstream Bio</w:t>
            </w:r>
          </w:p>
        </w:tc>
        <w:tc>
          <w:tcPr>
            <w:tcW w:type="dxa" w:w="10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Ph2</w:t>
            </w:r>
          </w:p>
        </w:tc>
        <w:tc>
          <w:tcPr>
            <w:tcW w:type="dxa" w:w="31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anti-TSLPR mAb, SC (~Q24W)</w:t>
            </w:r>
          </w:p>
        </w:tc>
        <w:tc>
          <w:tcPr>
            <w:tcW w:type="dxa" w:w="14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Ph2; long-acting</w:t>
            </w:r>
          </w:p>
        </w:tc>
      </w:tr>
      <w:tr>
        <w:trPr>
          <w:tblHeader w:val="false"/>
        </w:trPr>
        <w:tc>
          <w:tcPr>
            <w:tcW w:type="dxa" w:w="19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color w:val="14274A"/>
                <w:sz w:val="17"/>
                <w:szCs w:val="17"/>
              </w:rPr>
              <w:t xml:space="preserve">QX031N</w:t>
            </w:r>
          </w:p>
        </w:tc>
        <w:tc>
          <w:tcPr>
            <w:tcW w:type="dxa" w:w="19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Roche (Qyuns)</w:t>
            </w:r>
          </w:p>
        </w:tc>
        <w:tc>
          <w:tcPr>
            <w:tcW w:type="dxa" w:w="10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Preclinical</w:t>
            </w:r>
          </w:p>
        </w:tc>
        <w:tc>
          <w:tcPr>
            <w:tcW w:type="dxa" w:w="31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TSLP×IL-33 bispecific, SC (LA)</w:t>
            </w:r>
          </w:p>
        </w:tc>
        <w:tc>
          <w:tcPr>
            <w:tcW w:type="dxa" w:w="14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A3F8F" w:sz="18"/>
              <w:bottom w:val="none"/>
              <w:right w:val="none"/>
            </w:tcBorders>
            <w:shd w:fill="EEF4FB" w:val="clear"/>
            <w:tcMar>
              <w:top w:type="dxa" w:w="80"/>
              <w:left w:type="dxa" w:w="150"/>
              <w:bottom w:type="dxa" w:w="80"/>
              <w:right w:type="dxa" w:w="130"/>
            </w:tcMar>
          </w:tcPr>
          <w:p>
            <w:r>
              <w:rPr>
                <w:b/>
                <w:bCs/>
              </w:rPr>
              <w:t xml:space="preserve">The bar to beat, in numbers. </w:t>
            </w:r>
            <w:r>
              <w:t xml:space="preserve">In asthma, </w:t>
            </w:r>
            <w:hyperlink w:history="1" r:id="rIdcptpg0sswf0k5num03h7s">
              <w:r>
                <w:rPr>
                  <w:rStyle w:val="Hyperlink"/>
                </w:rPr>
                <w:t xml:space="preserve">tezepelumab cut exacerbations 56%</w:t>
              </w:r>
            </w:hyperlink>
            <w:r>
              <w:t xml:space="preserve"> across phenotypes; in eos-COPD, </w:t>
            </w:r>
            <w:hyperlink w:history="1" r:id="rIdzcslkxvx0afzbhpszo4hg">
              <w:r>
                <w:rPr>
                  <w:rStyle w:val="Hyperlink"/>
                </w:rPr>
                <w:t xml:space="preserve">dupilumab cut them 30-34%</w:t>
              </w:r>
            </w:hyperlink>
            <w:r>
              <w:t xml:space="preserve">. A dual-alarmin agent has to clear the relevant bar in the relevant disease — and its differentiating claim is breadth (working where single agents do not) plus dosing, not a marginal efficacy edge in the populations already served.</w:t>
            </w:r>
          </w:p>
        </w:tc>
      </w:tr>
    </w:tbl>
    <w:p>
      <w:pPr>
        <w:pStyle w:val="Heading2"/>
      </w:pPr>
      <w:r>
        <w:t xml:space="preserve">BD overlay — control, availability, and the so-what</w:t>
      </w:r>
    </w:p>
    <w:p>
      <w:pPr>
        <w:spacing w:after="120"/>
      </w:pPr>
      <w:r>
        <w:t xml:space="preserve">Who controls each asset and whether it can be transacted: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50"/>
        <w:gridCol w:w="1350"/>
        <w:gridCol w:w="4560"/>
      </w:tblGrid>
      <w:tr>
        <w:trPr>
          <w:tblHeader/>
        </w:trPr>
        <w:tc>
          <w:tcPr>
            <w:tcW w:type="dxa" w:w="17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Asset</w:t>
            </w:r>
          </w:p>
        </w:tc>
        <w:tc>
          <w:tcPr>
            <w:tcW w:type="dxa" w:w="17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Control</w:t>
            </w:r>
          </w:p>
        </w:tc>
        <w:tc>
          <w:tcPr>
            <w:tcW w:type="dxa" w:w="13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Availability</w:t>
            </w:r>
          </w:p>
        </w:tc>
        <w:tc>
          <w:tcPr>
            <w:tcW w:type="dxa" w:w="456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So-what for a buyer</w:t>
            </w:r>
          </w:p>
        </w:tc>
      </w:tr>
      <w:tr>
        <w:trPr>
          <w:tblHeader w:val="false"/>
        </w:trPr>
        <w:tc>
          <w:tcPr>
            <w:tcW w:type="dxa" w:w="17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tezepelumab</w:t>
            </w:r>
          </w:p>
        </w:tc>
        <w:tc>
          <w:tcPr>
            <w:tcW w:type="dxa" w:w="17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AstraZeneca + Amgen</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locked</w:t>
            </w:r>
          </w:p>
        </w:tc>
        <w:tc>
          <w:tcPr>
            <w:tcW w:type="dxa" w:w="45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the anti-TSLP standard; co-owned, not for sale</w:t>
            </w:r>
          </w:p>
        </w:tc>
      </w:tr>
      <w:tr>
        <w:trPr>
          <w:tblHeader w:val="false"/>
        </w:trPr>
        <w:tc>
          <w:tcPr>
            <w:tcW w:type="dxa" w:w="17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tozorakimab</w:t>
            </w:r>
          </w:p>
        </w:tc>
        <w:tc>
          <w:tcPr>
            <w:tcW w:type="dxa" w:w="17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AstraZeneca</w:t>
            </w:r>
          </w:p>
        </w:tc>
        <w:tc>
          <w:tcPr>
            <w:tcW w:type="dxa" w:w="1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locked</w:t>
            </w:r>
          </w:p>
        </w:tc>
        <w:tc>
          <w:tcPr>
            <w:tcW w:type="dxa" w:w="45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AZ's anti-IL-33; pairs with tezepelumab in-house</w:t>
            </w:r>
          </w:p>
        </w:tc>
      </w:tr>
      <w:tr>
        <w:trPr>
          <w:tblHeader w:val="false"/>
        </w:trPr>
        <w:tc>
          <w:tcPr>
            <w:tcW w:type="dxa" w:w="17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itepekimab</w:t>
            </w:r>
          </w:p>
        </w:tc>
        <w:tc>
          <w:tcPr>
            <w:tcW w:type="dxa" w:w="17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Regeneron + Sanofi</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locked</w:t>
            </w:r>
          </w:p>
        </w:tc>
        <w:tc>
          <w:tcPr>
            <w:tcW w:type="dxa" w:w="45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anti-IL-33 + dupilumab combo is Regeneron's own dual play</w:t>
            </w:r>
          </w:p>
        </w:tc>
      </w:tr>
      <w:tr>
        <w:trPr>
          <w:tblHeader w:val="false"/>
        </w:trPr>
        <w:tc>
          <w:tcPr>
            <w:tcW w:type="dxa" w:w="17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astegolimab</w:t>
            </w:r>
          </w:p>
        </w:tc>
        <w:tc>
          <w:tcPr>
            <w:tcW w:type="dxa" w:w="17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Roche</w:t>
            </w:r>
          </w:p>
        </w:tc>
        <w:tc>
          <w:tcPr>
            <w:tcW w:type="dxa" w:w="1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locked</w:t>
            </w:r>
          </w:p>
        </w:tc>
        <w:tc>
          <w:tcPr>
            <w:tcW w:type="dxa" w:w="45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Roche's IL-33-axis asset alongside QX031N</w:t>
            </w:r>
          </w:p>
        </w:tc>
      </w:tr>
      <w:tr>
        <w:trPr>
          <w:tblHeader w:val="false"/>
        </w:trPr>
        <w:tc>
          <w:tcPr>
            <w:tcW w:type="dxa" w:w="17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color w:val="14274A"/>
                <w:sz w:val="17"/>
                <w:szCs w:val="17"/>
              </w:rPr>
              <w:t xml:space="preserve">verekitug</w:t>
            </w:r>
          </w:p>
        </w:tc>
        <w:tc>
          <w:tcPr>
            <w:tcW w:type="dxa" w:w="17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Upstream Bio (independent)</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acquirable</w:t>
            </w:r>
          </w:p>
        </w:tc>
        <w:tc>
          <w:tcPr>
            <w:tcW w:type="dxa" w:w="45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the only clinical TSLP-receptor antagonist; scarce, long-acting</w:t>
            </w:r>
          </w:p>
        </w:tc>
      </w:tr>
      <w:tr>
        <w:trPr>
          <w:tblHeader w:val="false"/>
        </w:trPr>
        <w:tc>
          <w:tcPr>
            <w:tcW w:type="dxa" w:w="17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color w:val="14274A"/>
                <w:sz w:val="17"/>
                <w:szCs w:val="17"/>
              </w:rPr>
              <w:t xml:space="preserve">QX031N</w:t>
            </w:r>
          </w:p>
        </w:tc>
        <w:tc>
          <w:tcPr>
            <w:tcW w:type="dxa" w:w="17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Roche (ex-Qyuns)</w:t>
            </w:r>
          </w:p>
        </w:tc>
        <w:tc>
          <w:tcPr>
            <w:tcW w:type="dxa" w:w="1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locked</w:t>
            </w:r>
          </w:p>
        </w:tc>
        <w:tc>
          <w:tcPr>
            <w:tcW w:type="dxa" w:w="45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the lead dual-alarmin bispecific; just transacted</w:t>
            </w:r>
          </w:p>
        </w:tc>
      </w:tr>
    </w:tbl>
    <w:p>
      <w:pPr>
        <w:spacing w:after="120"/>
      </w:pPr>
      <w:r>
        <w:rPr>
          <w:b/>
          <w:bCs/>
        </w:rPr>
        <w:t xml:space="preserve">Read. </w:t>
      </w:r>
      <w:r>
        <w:t xml:space="preserve">The validated single-alarmin agents are locked inside large pharma (AZ, Regeneron, Roche). The transactable optionality is thin — </w:t>
      </w:r>
      <w:r>
        <w:rPr>
          <w:b/>
          <w:bCs/>
        </w:rPr>
        <w:t xml:space="preserve">Upstream Bio's verekitug</w:t>
      </w:r>
      <w:r>
        <w:t xml:space="preserve"> (long-acting TSLP-receptor) is the cleanest independent, and the China-origin bispecific supply (Section 10) is where a dual-alarmin position can still be acquired.</w:t>
      </w:r>
    </w:p>
    <w:p>
      <w:pPr>
        <w:pStyle w:val="Heading1"/>
      </w:pPr>
      <w:r>
        <w:t xml:space="preserve">5 · Alternative mechanisms &amp; the broader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050"/>
        <w:gridCol w:w="1450"/>
        <w:gridCol w:w="3710"/>
      </w:tblGrid>
      <w:tr>
        <w:trPr>
          <w:tblHeader/>
        </w:trPr>
        <w:tc>
          <w:tcPr>
            <w:tcW w:type="dxa" w:w="21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Class</w:t>
            </w:r>
          </w:p>
        </w:tc>
        <w:tc>
          <w:tcPr>
            <w:tcW w:type="dxa" w:w="20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Examples</w:t>
            </w:r>
          </w:p>
        </w:tc>
        <w:tc>
          <w:tcPr>
            <w:tcW w:type="dxa" w:w="14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Status</w:t>
            </w:r>
          </w:p>
        </w:tc>
        <w:tc>
          <w:tcPr>
            <w:tcW w:type="dxa" w:w="371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Position vs a dual-alarmin agent</w:t>
            </w:r>
          </w:p>
        </w:tc>
      </w:tr>
      <w:tr>
        <w:trPr>
          <w:tblHeader w:val="false"/>
        </w:trPr>
        <w:tc>
          <w:tcPr>
            <w:tcW w:type="dxa" w:w="21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Anti-IL-5 / 5R</w:t>
            </w:r>
          </w:p>
        </w:tc>
        <w:tc>
          <w:tcPr>
            <w:tcW w:type="dxa" w:w="20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mepolizumab, benralizumab</w:t>
            </w:r>
          </w:p>
        </w:tc>
        <w:tc>
          <w:tcPr>
            <w:tcW w:type="dxa" w:w="14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approved (asthma; COPD emerging)</w:t>
            </w:r>
          </w:p>
        </w:tc>
        <w:tc>
          <w:tcPr>
            <w:tcW w:type="dxa" w:w="37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high-eos only; alarmin agents claim breadth beyond eos</w:t>
            </w:r>
          </w:p>
        </w:tc>
      </w:tr>
      <w:tr>
        <w:trPr>
          <w:tblHeader w:val="false"/>
        </w:trPr>
        <w:tc>
          <w:tcPr>
            <w:tcW w:type="dxa" w:w="21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Anti-IL-4Rα</w:t>
            </w:r>
          </w:p>
        </w:tc>
        <w:tc>
          <w:tcPr>
            <w:tcW w:type="dxa" w:w="20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dupilumab</w:t>
            </w:r>
          </w:p>
        </w:tc>
        <w:tc>
          <w:tcPr>
            <w:tcW w:type="dxa" w:w="14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approved asthma + COPD</w:t>
            </w:r>
          </w:p>
        </w:tc>
        <w:tc>
          <w:tcPr>
            <w:tcW w:type="dxa" w:w="37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the downstream benchmark; first biologic in COPD</w:t>
            </w:r>
          </w:p>
        </w:tc>
      </w:tr>
      <w:tr>
        <w:trPr>
          <w:tblHeader w:val="false"/>
        </w:trPr>
        <w:tc>
          <w:tcPr>
            <w:tcW w:type="dxa" w:w="21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Anti-IgE</w:t>
            </w:r>
          </w:p>
        </w:tc>
        <w:tc>
          <w:tcPr>
            <w:tcW w:type="dxa" w:w="20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omalizumab</w:t>
            </w:r>
          </w:p>
        </w:tc>
        <w:tc>
          <w:tcPr>
            <w:tcW w:type="dxa" w:w="14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approved (allergic asthma)</w:t>
            </w:r>
          </w:p>
        </w:tc>
        <w:tc>
          <w:tcPr>
            <w:tcW w:type="dxa" w:w="37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allergic phenotype only</w:t>
            </w:r>
          </w:p>
        </w:tc>
      </w:tr>
      <w:tr>
        <w:trPr>
          <w:tblHeader w:val="false"/>
        </w:trPr>
        <w:tc>
          <w:tcPr>
            <w:tcW w:type="dxa" w:w="21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Inhaled triple / PDE</w:t>
            </w:r>
          </w:p>
        </w:tc>
        <w:tc>
          <w:tcPr>
            <w:tcW w:type="dxa" w:w="20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ICS-LABA-LAMA; ensifentrine</w:t>
            </w:r>
          </w:p>
        </w:tc>
        <w:tc>
          <w:tcPr>
            <w:tcW w:type="dxa" w:w="14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approved</w:t>
            </w:r>
          </w:p>
        </w:tc>
        <w:tc>
          <w:tcPr>
            <w:tcW w:type="dxa" w:w="37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the maintenance backbone + non-biologic add-on; the cost/convenience floor</w:t>
            </w:r>
          </w:p>
        </w:tc>
      </w:tr>
      <w:tr>
        <w:trPr>
          <w:tblHeader w:val="false"/>
        </w:trPr>
        <w:tc>
          <w:tcPr>
            <w:tcW w:type="dxa" w:w="21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Anti-IL-33 / ST2</w:t>
            </w:r>
          </w:p>
        </w:tc>
        <w:tc>
          <w:tcPr>
            <w:tcW w:type="dxa" w:w="20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tozorakimab, itepekimab, astegolimab</w:t>
            </w:r>
          </w:p>
        </w:tc>
        <w:tc>
          <w:tcPr>
            <w:tcW w:type="dxa" w:w="14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late-stage COPD</w:t>
            </w:r>
          </w:p>
        </w:tc>
        <w:tc>
          <w:tcPr>
            <w:tcW w:type="dxa" w:w="37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single-alarmin; a bispecific must beat these on breadth/durability</w:t>
            </w:r>
          </w:p>
        </w:tc>
      </w:tr>
    </w:tbl>
    <w:p>
      <w:pPr>
        <w:spacing w:after="120"/>
      </w:pPr>
      <w:r>
        <w:rPr>
          <w:b/>
          <w:bCs/>
        </w:rPr>
        <w:t xml:space="preserve">Why this matters. </w:t>
      </w:r>
      <w:r>
        <w:t xml:space="preserve">Asthma biologics are crowded and largely commoditized on efficacy; differentiation is breadth and dosing. COPD is the open frontier where the alarmin class is being defined now. A dual-alarmin agent's defensible claim is </w:t>
      </w:r>
      <w:r>
        <w:rPr>
          <w:b/>
          <w:bCs/>
        </w:rPr>
        <w:t xml:space="preserve">broad-population exacerbation control</w:t>
      </w:r>
      <w:r>
        <w:t xml:space="preserve"> — working in the type-2-low and smoker COPD patients that anti-IL-5 and even dupilumab leave behind — delivered with infrequent dosing an inhaler-plus-biologic regimen cannot match.</w:t>
      </w:r>
    </w:p>
    <w:p>
      <w:pPr>
        <w:spacing w:after="120"/>
      </w:pPr>
      <w:r>
        <w:rPr>
          <w:b/>
          <w:bCs/>
        </w:rPr>
        <w:t xml:space="preserve">Beyond asthma/COPD. </w:t>
      </w:r>
      <w:r>
        <w:t xml:space="preserve">The alarmin axis extends to chronic rhinosinusitis with nasal polyps (tezepelumab </w:t>
      </w:r>
      <w:hyperlink w:history="1" r:id="rIdis8xgjahixeuse_qiequz">
        <w:r>
          <w:rPr>
            <w:rStyle w:val="Hyperlink"/>
          </w:rPr>
          <w:t xml:space="preserve">WAYPOINT Ph3 positive</w:t>
        </w:r>
      </w:hyperlink>
      <w:r>
        <w:t xml:space="preserve">), atopic dermatitis, chronic spontaneous urticaria and other type-2 diseases — label-expansion optionality that widens a dual-alarmin asset's addressable market beyond the respiratory numbers above.</w:t>
      </w:r>
    </w:p>
    <w:p>
      <w:pPr>
        <w:pStyle w:val="Heading1"/>
      </w:pPr>
      <w:r>
        <w:t xml:space="preserve">6 · Safety &amp; the COPD readability problem</w:t>
      </w:r>
    </w:p>
    <w:p>
      <w:pPr>
        <w:pStyle w:val="ListParagraph"/>
        <w:numPr>
          <w:ilvl w:val="0"/>
          <w:numId w:val="2"/>
        </w:numPr>
        <w:spacing w:after="50"/>
      </w:pPr>
      <w:r>
        <w:rPr>
          <w:b/>
          <w:bCs/>
        </w:rPr>
        <w:t xml:space="preserve">Class safety is favorable. </w:t>
      </w:r>
      <w:r>
        <w:t xml:space="preserve">Anti-TSLP and anti-IL-33 agents have shown clean safety in asthma; tezepelumab's label carries no major warning. The open question for dual blockade is infection/barrier risk in an older, comorbid COPD population, since both alarmins have anti-viral/homeostatic roles.</w:t>
      </w:r>
    </w:p>
    <w:p>
      <w:pPr>
        <w:pStyle w:val="ListParagraph"/>
        <w:numPr>
          <w:ilvl w:val="0"/>
          <w:numId w:val="2"/>
        </w:numPr>
        <w:spacing w:after="50"/>
      </w:pPr>
      <w:r>
        <w:rPr>
          <w:b/>
          <w:bCs/>
        </w:rPr>
        <w:t xml:space="preserve">COPD is where mechanisms go to be humbled. </w:t>
      </w:r>
      <w:r>
        <w:t xml:space="preserve">Single alarmins have improved FEV1 but </w:t>
      </w:r>
      <w:hyperlink w:history="1" r:id="rIdiy2olipatfvzh0njwq_bf">
        <w:r>
          <w:rPr>
            <w:rStyle w:val="Hyperlink"/>
          </w:rPr>
          <w:t xml:space="preserve">not consistently reduced exacerbations</w:t>
        </w:r>
      </w:hyperlink>
      <w:r>
        <w:t xml:space="preserve"> (AERIFY-1 vs AERIFY-2 diverged); the disease's heterogeneity and noisy endpoints are the central execution risk — for a dual agent as much as a single one.</w:t>
      </w:r>
    </w:p>
    <w:p>
      <w:pPr>
        <w:pStyle w:val="ListParagraph"/>
        <w:numPr>
          <w:ilvl w:val="0"/>
          <w:numId w:val="2"/>
        </w:numPr>
        <w:spacing w:after="50"/>
      </w:pPr>
      <w:r>
        <w:rPr>
          <w:b/>
          <w:bCs/>
        </w:rPr>
        <w:t xml:space="preserve">Immunogenicity &amp; CMC. </w:t>
      </w:r>
      <w:r>
        <w:t xml:space="preserve">A long-acting bispecific must show low ADA and a manufacturable, high-concentration SC formulation; the engineering bar mirrors other dual-target programs and moves the deal multiple alongside efficacy.</w:t>
      </w:r>
    </w:p>
    <w:p>
      <w:pPr>
        <w:pStyle w:val="Heading1"/>
      </w:pPr>
      <w:r>
        <w:t xml:space="preserve">7 · Catalysts &amp; forecasts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0"/>
        <w:gridCol w:w="1350"/>
        <w:gridCol w:w="1550"/>
        <w:gridCol w:w="3510"/>
      </w:tblGrid>
      <w:tr>
        <w:trPr>
          <w:tblHeader/>
        </w:trPr>
        <w:tc>
          <w:tcPr>
            <w:tcW w:type="dxa" w:w="29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Event</w:t>
            </w:r>
          </w:p>
        </w:tc>
        <w:tc>
          <w:tcPr>
            <w:tcW w:type="dxa" w:w="13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Window</w:t>
            </w:r>
          </w:p>
        </w:tc>
        <w:tc>
          <w:tcPr>
            <w:tcW w:type="dxa" w:w="15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Estimate</w:t>
            </w:r>
          </w:p>
        </w:tc>
        <w:tc>
          <w:tcPr>
            <w:tcW w:type="dxa" w:w="351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What it tests</w:t>
            </w:r>
          </w:p>
        </w:tc>
      </w:tr>
      <w:tr>
        <w:trPr>
          <w:tblHeader w:val="false"/>
        </w:trPr>
        <w:tc>
          <w:tcPr>
            <w:tcW w:type="dxa" w:w="29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Tozorakimab NDA/MAA filing (COPD)</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H2 2026</w:t>
            </w:r>
          </w:p>
        </w:tc>
        <w:tc>
          <w:tcPr>
            <w:tcW w:type="dxa" w:w="15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high</w:t>
            </w:r>
          </w:p>
        </w:tc>
        <w:tc>
          <w:tcPr>
            <w:tcW w:type="dxa" w:w="35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validates anti-IL-33 toward first COPD approval</w:t>
            </w:r>
          </w:p>
        </w:tc>
      </w:tr>
      <w:tr>
        <w:trPr>
          <w:tblHeader w:val="false"/>
        </w:trPr>
        <w:tc>
          <w:tcPr>
            <w:tcW w:type="dxa" w:w="29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Verekitug End-of-Phase-2 / Ph3 start</w:t>
            </w:r>
          </w:p>
        </w:tc>
        <w:tc>
          <w:tcPr>
            <w:tcW w:type="dxa" w:w="1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2026–Q1 2027</w:t>
            </w:r>
          </w:p>
        </w:tc>
        <w:tc>
          <w:tcPr>
            <w:tcW w:type="dxa" w:w="15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w:t>
            </w:r>
          </w:p>
        </w:tc>
        <w:tc>
          <w:tcPr>
            <w:tcW w:type="dxa" w:w="35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the long-acting TSLP-receptor profile advances</w:t>
            </w:r>
          </w:p>
        </w:tc>
      </w:tr>
      <w:tr>
        <w:trPr>
          <w:tblHeader w:val="false"/>
        </w:trPr>
        <w:tc>
          <w:tcPr>
            <w:tcW w:type="dxa" w:w="29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Tezepelumab COPD Ph3 readouts</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2027</w:t>
            </w:r>
          </w:p>
        </w:tc>
        <w:tc>
          <w:tcPr>
            <w:tcW w:type="dxa" w:w="15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50-55% positive</w:t>
            </w:r>
          </w:p>
        </w:tc>
        <w:tc>
          <w:tcPr>
            <w:tcW w:type="dxa" w:w="35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whether anti-TSLP converts in COPD</w:t>
            </w:r>
          </w:p>
        </w:tc>
      </w:tr>
      <w:tr>
        <w:trPr>
          <w:tblHeader w:val="false"/>
        </w:trPr>
        <w:tc>
          <w:tcPr>
            <w:tcW w:type="dxa" w:w="29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First TSLP×IL-33 bispecific FIH</w:t>
            </w:r>
          </w:p>
        </w:tc>
        <w:tc>
          <w:tcPr>
            <w:tcW w:type="dxa" w:w="1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2026–2027</w:t>
            </w:r>
          </w:p>
        </w:tc>
        <w:tc>
          <w:tcPr>
            <w:tcW w:type="dxa" w:w="15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first data</w:t>
            </w:r>
          </w:p>
        </w:tc>
        <w:tc>
          <w:tcPr>
            <w:tcW w:type="dxa" w:w="35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the first test of dual-alarmin in humans</w:t>
            </w:r>
          </w:p>
        </w:tc>
      </w:tr>
    </w:tbl>
    <w:p>
      <w:pPr>
        <w:pStyle w:val="Heading1"/>
      </w:pPr>
      <w:r>
        <w:t xml:space="preserve">8 · Payer differentiation</w:t>
      </w:r>
    </w:p>
    <w:p>
      <w:pPr>
        <w:spacing w:after="120"/>
      </w:pPr>
      <w:r>
        <w:t xml:space="preserve">Payers gate respiratory biologics tightly on phenotype and exacerbation history. What moves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rPr>
          <w:tblHeader/>
        </w:trPr>
        <w:tc>
          <w:tcPr>
            <w:tcW w:type="dxa" w:w="23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Lever</w:t>
            </w:r>
          </w:p>
        </w:tc>
        <w:tc>
          <w:tcPr>
            <w:tcW w:type="dxa" w:w="701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What payers reward</w:t>
            </w:r>
          </w:p>
        </w:tc>
      </w:tr>
      <w:tr>
        <w:trPr>
          <w:tblHeader w:val="false"/>
        </w:trPr>
        <w:tc>
          <w:tcPr>
            <w:tcW w:type="dxa" w:w="2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Exacerbation reduction</w:t>
            </w:r>
          </w:p>
        </w:tc>
        <w:tc>
          <w:tcPr>
            <w:tcW w:type="dxa" w:w="70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documented reduction in moderate/severe exacerbations and steroid/ER use — the hard pharmacoeconomic endpoint that justifies a biologic premium over inhaled therapy.</w:t>
            </w:r>
          </w:p>
        </w:tc>
      </w:tr>
      <w:tr>
        <w:trPr>
          <w:tblHeader w:val="false"/>
        </w:trPr>
        <w:tc>
          <w:tcPr>
            <w:tcW w:type="dxa" w:w="2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Phenotype breadth</w:t>
            </w:r>
          </w:p>
        </w:tc>
        <w:tc>
          <w:tcPr>
            <w:tcW w:type="dxa" w:w="70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 label that does not require a high eosinophil count widens the eligible population and the value — anti-TSLP's edge over anti-IL-5.</w:t>
            </w:r>
          </w:p>
        </w:tc>
      </w:tr>
      <w:tr>
        <w:trPr>
          <w:tblHeader w:val="false"/>
        </w:trPr>
        <w:tc>
          <w:tcPr>
            <w:tcW w:type="dxa" w:w="2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Dosing &amp; site of care</w:t>
            </w:r>
          </w:p>
        </w:tc>
        <w:tc>
          <w:tcPr>
            <w:tcW w:type="dxa" w:w="70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infrequent SC self-injection (few doses/year) lowers total cost vs Q2-4W dosing and infusion; a real economic differentiator in a chronic disease.</w:t>
            </w:r>
          </w:p>
        </w:tc>
      </w:tr>
      <w:tr>
        <w:trPr>
          <w:tblHeader w:val="false"/>
        </w:trPr>
        <w:tc>
          <w:tcPr>
            <w:tcW w:type="dxa" w:w="2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Comparative effectiveness</w:t>
            </w:r>
          </w:p>
        </w:tc>
        <w:tc>
          <w:tcPr>
            <w:tcW w:type="dxa" w:w="701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benchmarked against dupilumab and tezepelumab; a dual agent must show a breadth or durability edge to win formulary preference.</w:t>
            </w:r>
          </w:p>
        </w:tc>
      </w:tr>
      <w:tr>
        <w:trPr>
          <w:tblHeader w:val="false"/>
        </w:trPr>
        <w:tc>
          <w:tcPr>
            <w:tcW w:type="dxa" w:w="2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Access consolidation</w:t>
            </w:r>
          </w:p>
        </w:tc>
        <w:tc>
          <w:tcPr>
            <w:tcW w:type="dxa" w:w="701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one bispecific covering both alarmins avoids the friction of two separate biologics — relevant if the field moves to combinations.</w:t>
            </w:r>
          </w:p>
        </w:tc>
      </w:tr>
    </w:tbl>
    <w:p>
      <w:pPr>
        <w:spacing w:after="120"/>
      </w:pPr>
      <w:r>
        <w:rPr>
          <w:b/>
          <w:bCs/>
        </w:rPr>
        <w:t xml:space="preserve">Price anchors. </w:t>
      </w:r>
      <w:r>
        <w:t xml:space="preserve">Respiratory biologics list in the ~$3-4k/month range and are judged on net cost after rebates against inhaled triple therapy and ensifentrine. In a </w:t>
      </w:r>
      <w:hyperlink w:history="1" r:id="rIdgn-ydoocst5bax3eozofy">
        <w:r>
          <w:rPr>
            <w:rStyle w:val="Hyperlink"/>
          </w:rPr>
          <w:t xml:space="preserve">market growing toward ~$40B+</w:t>
        </w:r>
      </w:hyperlink>
      <w:r>
        <w:t xml:space="preserve">, COPD is the volume driver — and the population breadth a dual-alarmin agent can claim is the lever on its realized value.</w:t>
      </w:r>
    </w:p>
    <w:p>
      <w:pPr>
        <w:pStyle w:val="Heading1"/>
      </w:pPr>
      <w:r>
        <w:t xml:space="preserve">9 · Value &amp; deal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350"/>
        <w:gridCol w:w="1300"/>
        <w:gridCol w:w="1300"/>
        <w:gridCol w:w="3060"/>
      </w:tblGrid>
      <w:tr>
        <w:trPr>
          <w:tblHeader/>
        </w:trPr>
        <w:tc>
          <w:tcPr>
            <w:tcW w:type="dxa" w:w="23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Deal</w:t>
            </w:r>
          </w:p>
        </w:tc>
        <w:tc>
          <w:tcPr>
            <w:tcW w:type="dxa" w:w="135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Upfront</w:t>
            </w:r>
          </w:p>
        </w:tc>
        <w:tc>
          <w:tcPr>
            <w:tcW w:type="dxa" w:w="13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Total</w:t>
            </w:r>
          </w:p>
        </w:tc>
        <w:tc>
          <w:tcPr>
            <w:tcW w:type="dxa" w:w="13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Stage</w:t>
            </w:r>
          </w:p>
        </w:tc>
        <w:tc>
          <w:tcPr>
            <w:tcW w:type="dxa" w:w="306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Read</w:t>
            </w:r>
          </w:p>
        </w:tc>
      </w:tr>
      <w:tr>
        <w:trPr>
          <w:tblHeader w:val="false"/>
        </w:trPr>
        <w:tc>
          <w:tcPr>
            <w:tcW w:type="dxa" w:w="2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Roche-Qyuns (QX031N)</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$75M</w:t>
            </w:r>
          </w:p>
        </w:tc>
        <w:tc>
          <w:tcPr>
            <w:tcW w:type="dxa" w:w="13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~$1.07B</w:t>
            </w:r>
          </w:p>
        </w:tc>
        <w:tc>
          <w:tcPr>
            <w:tcW w:type="dxa" w:w="13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preclinical</w:t>
            </w:r>
          </w:p>
        </w:tc>
        <w:tc>
          <w:tcPr>
            <w:tcW w:type="dxa" w:w="30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TSLP×IL-33 bispecific; the format's price anchor</w:t>
            </w:r>
          </w:p>
        </w:tc>
      </w:tr>
      <w:tr>
        <w:trPr>
          <w:tblHeader w:val="false"/>
        </w:trPr>
        <w:tc>
          <w:tcPr>
            <w:tcW w:type="dxa" w:w="2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Windward-Qyuns</w:t>
            </w:r>
          </w:p>
        </w:tc>
        <w:tc>
          <w:tcPr>
            <w:tcW w:type="dxa" w:w="135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w:t>
            </w:r>
          </w:p>
        </w:tc>
        <w:tc>
          <w:tcPr>
            <w:tcW w:type="dxa" w:w="13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~$700M</w:t>
            </w:r>
          </w:p>
        </w:tc>
        <w:tc>
          <w:tcPr>
            <w:tcW w:type="dxa" w:w="13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clinical</w:t>
            </w:r>
          </w:p>
        </w:tc>
        <w:tc>
          <w:tcPr>
            <w:tcW w:type="dxa" w:w="30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Novo-backed Windward bought a Qyuns immunology bispecific</w:t>
            </w:r>
          </w:p>
        </w:tc>
      </w:tr>
      <w:tr>
        <w:trPr>
          <w:tblHeader w:val="false"/>
        </w:trPr>
        <w:tc>
          <w:tcPr>
            <w:tcW w:type="dxa" w:w="2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Tezepelumab (AZ-Amgen)</w:t>
            </w:r>
          </w:p>
        </w:tc>
        <w:tc>
          <w:tcPr>
            <w:tcW w:type="dxa" w:w="135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co-dev</w:t>
            </w:r>
          </w:p>
        </w:tc>
        <w:tc>
          <w:tcPr>
            <w:tcW w:type="dxa" w:w="13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w:t>
            </w:r>
          </w:p>
        </w:tc>
        <w:tc>
          <w:tcPr>
            <w:tcW w:type="dxa" w:w="13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approved</w:t>
            </w:r>
          </w:p>
        </w:tc>
        <w:tc>
          <w:tcPr>
            <w:tcW w:type="dxa" w:w="30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the anti-TSLP franchise; sets the value of the validated class</w:t>
            </w:r>
          </w:p>
        </w:tc>
      </w:tr>
    </w:tbl>
    <w:p>
      <w:pPr>
        <w:spacing w:after="120"/>
      </w:pPr>
      <w:r>
        <w:t xml:space="preserve">Deal flow has already priced preclinical dual-alarmin assets near $1B. Value scales with the strength of the human-efficacy package — and the same first COPD-exacerbation result earns very different multiples by the surrounding breadth, safety and CMC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gridCol w:w="2960"/>
      </w:tblGrid>
      <w:tr>
        <w:trPr>
          <w:tblHeader/>
        </w:trPr>
        <w:tc>
          <w:tcPr>
            <w:tcW w:type="dxa" w:w="44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Path (given a credible dual-alarmin signal)</w:t>
            </w:r>
          </w:p>
        </w:tc>
        <w:tc>
          <w:tcPr>
            <w:tcW w:type="dxa" w:w="20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Range</w:t>
            </w:r>
          </w:p>
        </w:tc>
        <w:tc>
          <w:tcPr>
            <w:tcW w:type="dxa" w:w="296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Driver</w:t>
            </w:r>
          </w:p>
        </w:tc>
      </w:tr>
      <w:tr>
        <w:trPr>
          <w:tblHeader w:val="false"/>
        </w:trPr>
        <w:tc>
          <w:tcPr>
            <w:tcW w:type="dxa" w:w="44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 broad COPD efficacy + long-acting SC</w:t>
            </w:r>
          </w:p>
        </w:tc>
        <w:tc>
          <w:tcPr>
            <w:tcW w:type="dxa" w:w="20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$3-8B</w:t>
            </w:r>
          </w:p>
        </w:tc>
        <w:tc>
          <w:tcPr>
            <w:tcW w:type="dxa" w:w="29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breadth + convenience in the larger market</w:t>
            </w:r>
          </w:p>
        </w:tc>
      </w:tr>
      <w:tr>
        <w:trPr>
          <w:tblHeader w:val="false"/>
        </w:trPr>
        <w:tc>
          <w:tcPr>
            <w:tcW w:type="dxa" w:w="44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 asthma-only / narrow benefit</w:t>
            </w:r>
          </w:p>
        </w:tc>
        <w:tc>
          <w:tcPr>
            <w:tcW w:type="dxa" w:w="20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$1-3B</w:t>
            </w:r>
          </w:p>
        </w:tc>
        <w:tc>
          <w:tcPr>
            <w:tcW w:type="dxa" w:w="29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competes with entrenched single agents</w:t>
            </w:r>
          </w:p>
        </w:tc>
      </w:tr>
      <w:tr>
        <w:trPr>
          <w:tblHeader w:val="false"/>
        </w:trPr>
        <w:tc>
          <w:tcPr>
            <w:tcW w:type="dxa" w:w="44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no exacerbation benefit beyond single agents</w:t>
            </w:r>
          </w:p>
        </w:tc>
        <w:tc>
          <w:tcPr>
            <w:tcW w:type="dxa" w:w="20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color w:val="B91C1C"/>
              </w:rPr>
              <w:t xml:space="preserve">&lt; $1B</w:t>
            </w:r>
          </w:p>
        </w:tc>
        <w:tc>
          <w:tcPr>
            <w:tcW w:type="dxa" w:w="29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reverts to a crowded, downstream-adjacent asset</w:t>
            </w:r>
          </w:p>
        </w:tc>
      </w:tr>
    </w:tbl>
    <w:p>
      <w:pPr>
        <w:pStyle w:val="Heading1"/>
      </w:pPr>
      <w:r>
        <w:t xml:space="preserve">10 · Competitive geography</w:t>
      </w:r>
    </w:p>
    <w:p>
      <w:pPr>
        <w:spacing w:after="120"/>
      </w:pPr>
      <w:r>
        <w:t xml:space="preserve">As in IBD, the dual-target bispecific supply is disproportionately China-originated: </w:t>
      </w:r>
      <w:hyperlink w:history="1" r:id="rId_bxyzat6zg4jwpodelbzy">
        <w:r>
          <w:rPr>
            <w:rStyle w:val="Hyperlink"/>
          </w:rPr>
          <w:t xml:space="preserve">Qyuns (QX031N → Roche, and a separate immunology bispecific → Windward)</w:t>
        </w:r>
      </w:hyperlink>
      <w:r>
        <w:t xml:space="preserve">, plus other Chinese biotechs advancing TSLP and IL-33 programs. The recurring pattern is a Western pharma licensing-in a China-originated long-acting bispecific; Western-quality data and clean IP convert the molecule into a premium transaction. With Roche, AstraZeneca and Regeneron all holding single-alarmin assets, the most probable acquirers of a dual-alarmin asset are the respiratory leaders seeking a next-generation, single-molecule upstream agent.</w:t>
      </w:r>
    </w:p>
    <w:p>
      <w:pPr>
        <w:pStyle w:val="Heading1"/>
      </w:pPr>
      <w:r>
        <w:t xml:space="preserve">11 ·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300"/>
        <w:gridCol w:w="3380"/>
      </w:tblGrid>
      <w:tr>
        <w:trPr>
          <w:tblHeader/>
        </w:trPr>
        <w:tc>
          <w:tcPr>
            <w:tcW w:type="dxa" w:w="468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Scenario</w:t>
            </w:r>
          </w:p>
        </w:tc>
        <w:tc>
          <w:tcPr>
            <w:tcW w:type="dxa" w:w="13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Prob.</w:t>
            </w:r>
          </w:p>
        </w:tc>
        <w:tc>
          <w:tcPr>
            <w:tcW w:type="dxa" w:w="338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Implication</w:t>
            </w:r>
          </w:p>
        </w:tc>
      </w:tr>
      <w:tr>
        <w:trPr>
          <w:tblHeader w:val="false"/>
        </w:trPr>
        <w:tc>
          <w:tcPr>
            <w:tcW w:type="dxa" w:w="468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A — dual-alarmin shows broad COPD benefit</w:t>
            </w:r>
          </w:p>
        </w:tc>
        <w:tc>
          <w:tcPr>
            <w:tcW w:type="dxa" w:w="13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~30%</w:t>
            </w:r>
          </w:p>
        </w:tc>
        <w:tc>
          <w:tcPr>
            <w:tcW w:type="dxa" w:w="338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class-defining; large COPD value, partnering urgency rises</w:t>
            </w:r>
          </w:p>
        </w:tc>
      </w:tr>
      <w:tr>
        <w:trPr>
          <w:tblHeader w:val="false"/>
        </w:trPr>
        <w:tc>
          <w:tcPr>
            <w:tcW w:type="dxa" w:w="468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B — works in asthma, not broadly in COPD</w:t>
            </w:r>
          </w:p>
        </w:tc>
        <w:tc>
          <w:tcPr>
            <w:tcW w:type="dxa" w:w="13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~35%</w:t>
            </w:r>
          </w:p>
        </w:tc>
        <w:tc>
          <w:tcPr>
            <w:tcW w:type="dxa" w:w="338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incremental; competes with entrenched single agents</w:t>
            </w:r>
          </w:p>
        </w:tc>
      </w:tr>
      <w:tr>
        <w:trPr>
          <w:tblHeader w:val="false"/>
        </w:trPr>
        <w:tc>
          <w:tcPr>
            <w:tcW w:type="dxa" w:w="468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C — single alarmins win COPD first, dual lags</w:t>
            </w:r>
          </w:p>
        </w:tc>
        <w:tc>
          <w:tcPr>
            <w:tcW w:type="dxa" w:w="13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~20%</w:t>
            </w:r>
          </w:p>
        </w:tc>
        <w:tc>
          <w:tcPr>
            <w:tcW w:type="dxa" w:w="338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tozorakimab/dupilumab define COPD; dual premium compresses</w:t>
            </w:r>
          </w:p>
        </w:tc>
      </w:tr>
      <w:tr>
        <w:trPr>
          <w:tblHeader w:val="false"/>
        </w:trPr>
        <w:tc>
          <w:tcPr>
            <w:tcW w:type="dxa" w:w="468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D — alarmin agents disappoint in COPD</w:t>
            </w:r>
          </w:p>
        </w:tc>
        <w:tc>
          <w:tcPr>
            <w:tcW w:type="dxa" w:w="13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~15%</w:t>
            </w:r>
          </w:p>
        </w:tc>
        <w:tc>
          <w:tcPr>
            <w:tcW w:type="dxa" w:w="338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class-wide doubt; value reverts toward asthma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B91C1C" w:sz="18"/>
              <w:bottom w:val="none"/>
              <w:right w:val="none"/>
            </w:tcBorders>
            <w:shd w:fill="FEF2F2" w:val="clear"/>
            <w:tcMar>
              <w:top w:type="dxa" w:w="80"/>
              <w:left w:type="dxa" w:w="150"/>
              <w:bottom w:type="dxa" w:w="80"/>
              <w:right w:type="dxa" w:w="130"/>
            </w:tcMar>
          </w:tcPr>
          <w:p>
            <w:r>
              <w:rPr>
                <w:b/>
                <w:bCs/>
              </w:rPr>
              <w:t xml:space="preserve">The value-destroying case. </w:t>
            </w:r>
            <w:r>
              <w:t xml:space="preserve">If a dual-alarmin agent cannot beat tezepelumab in asthma and cannot convert to a consistent COPD exacerbation reduction, it is a more complex version of two already-approved mechanisms with no clear buyer. The defense is a focused early signal — ideally in the broad / type-2-low COPD population where single agents have failed — that reads additive breadth before committing large Phase 3 capital.</w:t>
            </w:r>
          </w:p>
        </w:tc>
      </w:tr>
    </w:tbl>
    <w:p>
      <w:pPr>
        <w:pStyle w:val="Heading1"/>
      </w:pPr>
      <w:r>
        <w:t xml:space="preserve">12 · Diligence checklist (asset-level data)</w:t>
      </w:r>
    </w:p>
    <w:p>
      <w:pPr>
        <w:spacing w:after="120"/>
      </w:pPr>
      <w:r>
        <w:t xml:space="preserve">Answered with a program's proprietary preclinical and CMC data, not public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Question</w:t>
            </w:r>
          </w:p>
        </w:tc>
        <w:tc>
          <w:tcPr>
            <w:tcW w:type="dxa" w:w="666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A strong answer</w:t>
            </w:r>
          </w:p>
        </w:tc>
      </w:tr>
      <w:tr>
        <w:trPr>
          <w:tblHeader w:val="false"/>
        </w:trPr>
        <w:tc>
          <w:tcPr>
            <w:tcW w:type="dxa" w:w="27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Dual blockade</w:t>
            </w:r>
          </w:p>
        </w:tc>
        <w:tc>
          <w:tcPr>
            <w:tcW w:type="dxa" w:w="66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simultaneous TSLP + IL-33 neutralization demonstrated on one molecule; potency vs benchmark anti-TSLP and anti-IL-33 mAbs</w:t>
            </w:r>
          </w:p>
        </w:tc>
      </w:tr>
      <w:tr>
        <w:trPr>
          <w:tblHeader w:val="false"/>
        </w:trPr>
        <w:tc>
          <w:tcPr>
            <w:tcW w:type="dxa" w:w="27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NHP PK/PD</w:t>
            </w:r>
          </w:p>
        </w:tc>
        <w:tc>
          <w:tcPr>
            <w:tcW w:type="dxa" w:w="66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durable suppression of both alarmins; half-life supporting infrequent (≈Q12-24W) SC dosing</w:t>
            </w:r>
          </w:p>
        </w:tc>
      </w:tr>
      <w:tr>
        <w:trPr>
          <w:tblHeader w:val="false"/>
        </w:trPr>
        <w:tc>
          <w:tcPr>
            <w:tcW w:type="dxa" w:w="27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Preclinical superiority</w:t>
            </w:r>
          </w:p>
        </w:tc>
        <w:tc>
          <w:tcPr>
            <w:tcW w:type="dxa" w:w="66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beats each monotherapy AND the free combination in airway-inflammation / smoke / viral-exacerbation models</w:t>
            </w:r>
          </w:p>
        </w:tc>
      </w:tr>
      <w:tr>
        <w:trPr>
          <w:tblHeader w:val="false"/>
        </w:trPr>
        <w:tc>
          <w:tcPr>
            <w:tcW w:type="dxa" w:w="27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bCs/>
              </w:rPr>
              <w:t xml:space="preserve">Safety / infection</w:t>
            </w:r>
          </w:p>
        </w:tc>
        <w:tc>
          <w:tcPr>
            <w:tcW w:type="dxa" w:w="66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no barrier or anti-viral compromise from dual blockade; clean lung and lymphoid histology</w:t>
            </w:r>
          </w:p>
        </w:tc>
      </w:tr>
      <w:tr>
        <w:trPr>
          <w:tblHeader w:val="false"/>
        </w:trPr>
        <w:tc>
          <w:tcPr>
            <w:tcW w:type="dxa" w:w="27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bCs/>
              </w:rPr>
              <w:t xml:space="preserve">CMC / immunogenicity</w:t>
            </w:r>
          </w:p>
        </w:tc>
        <w:tc>
          <w:tcPr>
            <w:tcW w:type="dxa" w:w="66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high-concentration SC formulation; low predicted ADA; titer and developability de-risked</w:t>
            </w:r>
          </w:p>
        </w:tc>
      </w:tr>
    </w:tbl>
    <w:p>
      <w:pPr>
        <w:pStyle w:val="Heading1"/>
      </w:pPr>
      <w:r>
        <w:t xml:space="preserve">13 · Standing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760"/>
      </w:tblGrid>
      <w:tr>
        <w:trPr>
          <w:tblHeader/>
        </w:trPr>
        <w:tc>
          <w:tcPr>
            <w:tcW w:type="dxa" w:w="46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Prediction</w:t>
            </w:r>
          </w:p>
        </w:tc>
        <w:tc>
          <w:tcPr>
            <w:tcW w:type="dxa" w:w="15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Type</w:t>
            </w:r>
          </w:p>
        </w:tc>
        <w:tc>
          <w:tcPr>
            <w:tcW w:type="dxa" w:w="15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Estimate</w:t>
            </w:r>
          </w:p>
        </w:tc>
        <w:tc>
          <w:tcPr>
            <w:tcW w:type="dxa" w:w="176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Resolves (range)</w:t>
            </w:r>
          </w:p>
        </w:tc>
      </w:tr>
      <w:tr>
        <w:trPr>
          <w:tblHeader w:val="false"/>
        </w:trPr>
        <w:tc>
          <w:tcPr>
            <w:tcW w:type="dxa" w:w="46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Tozorakimab files for COPD (NDA/MAA)</w:t>
            </w:r>
          </w:p>
        </w:tc>
        <w:tc>
          <w:tcPr>
            <w:tcW w:type="dxa" w:w="15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regulatory</w:t>
            </w:r>
          </w:p>
        </w:tc>
        <w:tc>
          <w:tcPr>
            <w:tcW w:type="dxa" w:w="15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70-80%</w:t>
            </w:r>
          </w:p>
        </w:tc>
        <w:tc>
          <w:tcPr>
            <w:tcW w:type="dxa" w:w="17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H2 2026 – H1 2027</w:t>
            </w:r>
          </w:p>
        </w:tc>
      </w:tr>
      <w:tr>
        <w:trPr>
          <w:tblHeader w:val="false"/>
        </w:trPr>
        <w:tc>
          <w:tcPr>
            <w:tcW w:type="dxa" w:w="46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Tezepelumab Phase 3 COPD reads positive</w:t>
            </w:r>
          </w:p>
        </w:tc>
        <w:tc>
          <w:tcPr>
            <w:tcW w:type="dxa" w:w="15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outcome</w:t>
            </w:r>
          </w:p>
        </w:tc>
        <w:tc>
          <w:tcPr>
            <w:tcW w:type="dxa" w:w="15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45-55%</w:t>
            </w:r>
          </w:p>
        </w:tc>
        <w:tc>
          <w:tcPr>
            <w:tcW w:type="dxa" w:w="17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2027 – H1 2028</w:t>
            </w:r>
          </w:p>
        </w:tc>
      </w:tr>
      <w:tr>
        <w:trPr>
          <w:tblHeader w:val="false"/>
        </w:trPr>
        <w:tc>
          <w:tcPr>
            <w:tcW w:type="dxa" w:w="46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 first TSLP×IL-33 bispecific reaches the clinic</w:t>
            </w:r>
          </w:p>
        </w:tc>
        <w:tc>
          <w:tcPr>
            <w:tcW w:type="dxa" w:w="15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first-to-clinic</w:t>
            </w:r>
          </w:p>
        </w:tc>
        <w:tc>
          <w:tcPr>
            <w:tcW w:type="dxa" w:w="15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55-65%</w:t>
            </w:r>
          </w:p>
        </w:tc>
        <w:tc>
          <w:tcPr>
            <w:tcW w:type="dxa" w:w="17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H2 2026 – 2027</w:t>
            </w:r>
          </w:p>
        </w:tc>
      </w:tr>
      <w:tr>
        <w:trPr>
          <w:tblHeader w:val="false"/>
        </w:trPr>
        <w:tc>
          <w:tcPr>
            <w:tcW w:type="dxa" w:w="46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Upstream Bio (verekitug) is acquired or partnered</w:t>
            </w:r>
          </w:p>
        </w:tc>
        <w:tc>
          <w:tcPr>
            <w:tcW w:type="dxa" w:w="15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deal</w:t>
            </w:r>
          </w:p>
        </w:tc>
        <w:tc>
          <w:tcPr>
            <w:tcW w:type="dxa" w:w="15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45-55%</w:t>
            </w:r>
          </w:p>
        </w:tc>
        <w:tc>
          <w:tcPr>
            <w:tcW w:type="dxa" w:w="17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H2 2026 – H1 2027</w:t>
            </w:r>
          </w:p>
        </w:tc>
      </w:tr>
    </w:tbl>
    <w:p>
      <w:pPr>
        <w:pStyle w:val="Heading1"/>
      </w:pPr>
      <w:r>
        <w:t xml:space="preserve">What would change this view</w:t>
      </w:r>
    </w:p>
    <w:p>
      <w:pPr>
        <w:spacing w:after="120"/>
      </w:pPr>
      <w:r>
        <w:t xml:space="preserve">The load-bearing conclusions and their disconfirming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If we see…</w:t>
            </w:r>
          </w:p>
        </w:tc>
        <w:tc>
          <w:tcPr>
            <w:tcW w:type="dxa" w:w="5360"/>
            <w:tcBorders>
              <w:top w:val="single" w:color="1A3F8F" w:sz="1"/>
              <w:left w:val="single" w:color="1A3F8F" w:sz="1"/>
              <w:bottom w:val="single" w:color="1A3F8F" w:sz="1"/>
              <w:right w:val="single" w:color="1A3F8F" w:sz="1"/>
            </w:tcBorders>
            <w:shd w:fill="1A3F8F" w:val="clear"/>
            <w:tcMar>
              <w:top w:type="dxa" w:w="46"/>
              <w:left w:type="dxa" w:w="94"/>
              <w:bottom w:type="dxa" w:w="46"/>
              <w:right w:type="dxa" w:w="94"/>
            </w:tcMar>
          </w:tcPr>
          <w:p>
            <w:pPr>
              <w:jc w:val="left"/>
            </w:pPr>
            <w:r>
              <w:rPr>
                <w:b/>
                <w:bCs/>
                <w:color w:val="FFFFFF"/>
                <w:sz w:val="17"/>
                <w:szCs w:val="17"/>
              </w:rPr>
              <w:t xml:space="preserve">…the view changes to</w:t>
            </w:r>
          </w:p>
        </w:tc>
      </w:tr>
      <w:tr>
        <w:trPr>
          <w:tblHeader w:val="false"/>
        </w:trPr>
        <w:tc>
          <w:tcPr>
            <w:tcW w:type="dxa" w:w="40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 dual-alarmin agent failing to beat single agents on exacerbations</w:t>
            </w:r>
          </w:p>
        </w:tc>
        <w:tc>
          <w:tcPr>
            <w:tcW w:type="dxa" w:w="53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the single-molecule premium collapses; value &lt; $1B (Section 11)</w:t>
            </w:r>
          </w:p>
        </w:tc>
      </w:tr>
      <w:tr>
        <w:trPr>
          <w:tblHeader w:val="false"/>
        </w:trPr>
        <w:tc>
          <w:tcPr>
            <w:tcW w:type="dxa" w:w="40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 single alarmin (tozorakimab) winning broad COPD first</w:t>
            </w:r>
          </w:p>
        </w:tc>
        <w:tc>
          <w:tcPr>
            <w:tcW w:type="dxa" w:w="53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COPD is defined by single agents; dual thesis compresses</w:t>
            </w:r>
          </w:p>
        </w:tc>
      </w:tr>
      <w:tr>
        <w:trPr>
          <w:tblHeader w:val="false"/>
        </w:trPr>
        <w:tc>
          <w:tcPr>
            <w:tcW w:type="dxa" w:w="400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tezepelumab converting strongly in Phase 3 COPD</w:t>
            </w:r>
          </w:p>
        </w:tc>
        <w:tc>
          <w:tcPr>
            <w:tcW w:type="dxa" w:w="5360"/>
            <w:tcBorders>
              <w:top w:val="single" w:color="D6DEEA" w:sz="1"/>
              <w:left w:val="single" w:color="D6DEEA" w:sz="1"/>
              <w:bottom w:val="single" w:color="D6DEEA" w:sz="1"/>
              <w:right w:val="single" w:color="D6DEEA" w:sz="1"/>
            </w:tcBorders>
            <w:shd w:fill="FFFFFF" w:val="clear"/>
            <w:tcMar>
              <w:top w:type="dxa" w:w="46"/>
              <w:left w:type="dxa" w:w="94"/>
              <w:bottom w:type="dxa" w:w="46"/>
              <w:right w:type="dxa" w:w="94"/>
            </w:tcMar>
          </w:tcPr>
          <w:p>
            <w:pPr>
              <w:jc w:val="left"/>
            </w:pPr>
            <w:r>
              <w:rPr>
                <w:b w:val="false"/>
                <w:bCs w:val="false"/>
                <w:color w:val="14274A"/>
                <w:sz w:val="17"/>
                <w:szCs w:val="17"/>
              </w:rPr>
              <w:t xml:space="preserve">anti-TSLP alone may suffice; narrows the dual rationale</w:t>
            </w:r>
          </w:p>
        </w:tc>
      </w:tr>
      <w:tr>
        <w:trPr>
          <w:tblHeader w:val="false"/>
        </w:trPr>
        <w:tc>
          <w:tcPr>
            <w:tcW w:type="dxa" w:w="400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an infection/barrier safety signal under dual blockade</w:t>
            </w:r>
          </w:p>
        </w:tc>
        <w:tc>
          <w:tcPr>
            <w:tcW w:type="dxa" w:w="5360"/>
            <w:tcBorders>
              <w:top w:val="single" w:color="D6DEEA" w:sz="1"/>
              <w:left w:val="single" w:color="D6DEEA" w:sz="1"/>
              <w:bottom w:val="single" w:color="D6DEEA" w:sz="1"/>
              <w:right w:val="single" w:color="D6DEEA" w:sz="1"/>
            </w:tcBorders>
            <w:shd w:fill="F5F8FF" w:val="clear"/>
            <w:tcMar>
              <w:top w:type="dxa" w:w="46"/>
              <w:left w:type="dxa" w:w="94"/>
              <w:bottom w:type="dxa" w:w="46"/>
              <w:right w:type="dxa" w:w="94"/>
            </w:tcMar>
          </w:tcPr>
          <w:p>
            <w:pPr>
              <w:jc w:val="left"/>
            </w:pPr>
            <w:r>
              <w:rPr>
                <w:b w:val="false"/>
                <w:bCs w:val="false"/>
                <w:color w:val="14274A"/>
                <w:sz w:val="17"/>
                <w:szCs w:val="17"/>
              </w:rPr>
              <w:t xml:space="preserve">safety discount, especially in comorbid COPD</w:t>
            </w:r>
          </w:p>
        </w:tc>
      </w:tr>
    </w:tbl>
    <w:p>
      <w:pPr>
        <w:spacing w:after="120"/>
      </w:pPr>
      <w:r>
        <w:rPr>
          <w:i/>
          <w:iCs/>
        </w:rPr>
        <w:t xml:space="preserve">Every quantitative claim here is footnoted to its primary source; where a claim is a hypothesis (the dual-alarmin breadth premise, the COPD-conversion assumption) it is labelled as such, not asserted as fact.</w:t>
      </w:r>
    </w:p>
    <w:sectPr>
      <w:headerReference w:type="default" r:id="rId7"/>
      <w:footerReference w:type="default" r:id="rId8"/>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3"/>
        <w:szCs w:val="13"/>
      </w:rPr>
      <w:t xml:space="preserve">Source-traced · footnotes link to the primary source · Page </w:t>
    </w:r>
    <w:r>
      <w:rPr>
        <w:color w:val="64748B"/>
        <w:sz w:val="13"/>
        <w:szCs w:val="13"/>
      </w:rPr>
      <w:fldChar w:fldCharType="begin"/>
      <w:instrText xml:space="preserve">PAGE</w:instrText>
      <w:fldChar w:fldCharType="separate"/>
      <w:fldChar w:fldCharType="end"/>
    </w:r>
    <w:r>
      <w:rPr>
        <w:color w:val="64748B"/>
        <w:sz w:val="13"/>
        <w:szCs w:val="13"/>
      </w:rPr>
      <w:t xml:space="preserve"> of </w:t>
    </w:r>
    <w:r>
      <w:rPr>
        <w:color w:val="64748B"/>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A3F8F"/>
        <w:sz w:val="14"/>
        <w:szCs w:val="14"/>
      </w:rPr>
      <w:t xml:space="preserve">◆ THE MERIDIAN</w:t>
    </w:r>
    <w:r>
      <w:rPr>
        <w:color w:val="64748B"/>
        <w:sz w:val="14"/>
        <w:szCs w:val="14"/>
      </w:rPr>
      <w:t xml:space="preserve">  ·  Area Intelligence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25"/>
      </w:pPr>
    </w:lvl>
  </w:abstractNum>
  <w:abstractNum w:abstractNumId="3" w15:restartNumberingAfterBreak="0">
    <w:multiLevelType w:val="hybridMultilevel"/>
    <w:lvl w:ilvl="0" w15:tentative="1">
      <w:start w:val="1"/>
      <w:numFmt w:val="decimal"/>
      <w:lvlText w:val="%1."/>
      <w:lvlJc w:val="left"/>
      <w:pPr>
        <w:ind w:left="470" w:hanging="22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DEEA" w:sz="4" w:space="3"/>
      </w:pBdr>
      <w:spacing w:after="85" w:before="200"/>
      <w:outlineLvl w:val="0"/>
    </w:pPr>
    <w:rPr>
      <w:rFonts w:ascii="Arial" w:cs="Arial" w:eastAsia="Arial" w:hAnsi="Arial"/>
      <w:b/>
      <w:bCs/>
      <w:color w:val="1A3F8F"/>
      <w:sz w:val="23"/>
      <w:szCs w:val="23"/>
    </w:rPr>
  </w:style>
  <w:style w:type="paragraph" w:styleId="Heading2">
    <w:name w:val="Heading 2"/>
    <w:basedOn w:val="Normal"/>
    <w:next w:val="Normal"/>
    <w:qFormat/>
    <w:pPr>
      <w:spacing w:after="50" w:before="120"/>
      <w:outlineLvl w:val="1"/>
    </w:pPr>
    <w:rPr>
      <w:rFonts w:ascii="Arial" w:cs="Arial" w:eastAsia="Arial" w:hAnsi="Arial"/>
      <w:b/>
      <w:bCs/>
      <w:color w:val="14274A"/>
      <w:sz w:val="18"/>
      <w:szCs w:val="18"/>
    </w:rPr>
  </w:style>
  <w:style w:type="paragraph" w:styleId="Hyperlink">
    <w:name w:val="Hyperlink"/>
    <w:basedOn w:val="Normal"/>
    <w:rPr>
      <w:color w:val="1D4ED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vbffzzvos4b8v3oiudry" Type="http://schemas.openxmlformats.org/officeDocument/2006/relationships/hyperlink" Target="https://www.fiercebiotech.com/biotech/roche-pens-1b-biobucks-deal-chinese-companys-respiratory-disease-bispecific" TargetMode="External"/><Relationship Id="rIdezcbruxoxfcac_qejdg7d" Type="http://schemas.openxmlformats.org/officeDocument/2006/relationships/hyperlink" Target="https://www.fiercebiotech.com/biotech/roche-pens-1b-biobucks-deal-chinese-companys-respiratory-disease-bispecific" TargetMode="External"/><Relationship Id="rIde-lownffb9ltbamreb94w" Type="http://schemas.openxmlformats.org/officeDocument/2006/relationships/hyperlink" Target="https://www.cdc.gov/asthma/most_recent_national_asthma_data.htm" TargetMode="External"/><Relationship Id="rId-jwrbx_8ozttoxvj3qcbj" Type="http://schemas.openxmlformats.org/officeDocument/2006/relationships/hyperlink" Target="https://www.cdc.gov/asthma/most_recent_national_asthma_data.htm" TargetMode="External"/><Relationship Id="rId4pv2rurknzpylf4zvqdkf" Type="http://schemas.openxmlformats.org/officeDocument/2006/relationships/hyperlink" Target="https://insight.jci.org/articles/view/87871" TargetMode="External"/><Relationship Id="rIdafuj21un0intu8ghfq307" Type="http://schemas.openxmlformats.org/officeDocument/2006/relationships/hyperlink" Target="https://www.nejm.org/doi/full/10.1056/NEJMoa2034975" TargetMode="External"/><Relationship Id="rIdzvee6zofjmkxu0t_8no_u" Type="http://schemas.openxmlformats.org/officeDocument/2006/relationships/hyperlink" Target="https://www.regeneron.com/" TargetMode="External"/><Relationship Id="rIdyyl5iw1rlnxjzfjiqmsek" Type="http://schemas.openxmlformats.org/officeDocument/2006/relationships/hyperlink" Target="https://www.fiercebiotech.com/biotech/roche-pens-1b-biobucks-deal-chinese-companys-respiratory-disease-bispecific" TargetMode="External"/><Relationship Id="rIdcptpg0sswf0k5num03h7s" Type="http://schemas.openxmlformats.org/officeDocument/2006/relationships/hyperlink" Target="https://www.nejm.org/doi/full/10.1056/NEJMoa2034975" TargetMode="External"/><Relationship Id="rIdzcslkxvx0afzbhpszo4hg" Type="http://schemas.openxmlformats.org/officeDocument/2006/relationships/hyperlink" Target="https://www.nejm.org/doi/full/10.1056/NEJMoa2401304" TargetMode="External"/><Relationship Id="rIdis8xgjahixeuse_qiequz" Type="http://schemas.openxmlformats.org/officeDocument/2006/relationships/hyperlink" Target="https://www.prnewswire.com/news-releases/tezspire-met-both-co-primary-endpoints-in-phase-3-trial-for-chronic-rhinosinusitis-with-nasal-polyps-302299720.html" TargetMode="External"/><Relationship Id="rIdiy2olipatfvzh0njwq_bf" Type="http://schemas.openxmlformats.org/officeDocument/2006/relationships/hyperlink" Target="https://www.cdc.gov/asthma/most_recent_national_asthma_data.htm" TargetMode="External"/><Relationship Id="rIdgn-ydoocst5bax3eozofy" Type="http://schemas.openxmlformats.org/officeDocument/2006/relationships/hyperlink" Target="https://www.futuremarketinsights.com/reports/respiratory-biologics-market" TargetMode="External"/><Relationship Id="rId_bxyzat6zg4jwpodelbzy" Type="http://schemas.openxmlformats.org/officeDocument/2006/relationships/hyperlink" Target="https://www.fiercebiotech.com/biotech/roche-pens-1b-biobucks-deal-chinese-companys-respiratory-disease-bispecific"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2026-06-09T21:50:12.383Z</dcterms:created>
  <dcterms:modified xsi:type="dcterms:W3CDTF">2026-06-09T21:50:12.388Z</dcterms:modified>
</cp:coreProperties>
</file>

<file path=docProps/custom.xml><?xml version="1.0" encoding="utf-8"?>
<Properties xmlns="http://schemas.openxmlformats.org/officeDocument/2006/custom-properties" xmlns:vt="http://schemas.openxmlformats.org/officeDocument/2006/docPropsVTypes"/>
</file>