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29, 2026</w:t>
      </w:r>
    </w:p>
    <w:p>
      <w:pPr>
        <w:spacing w:before="0" w:after="160" w:line="276" w:lineRule="auto"/>
      </w:pPr>
      <w:r>
        <w:rPr>
          <w:sz w:val="21"/>
        </w:rPr>
        <w:t>DeepMind Security Hiring Team</w:t>
        <w:br/>
        <w:t>Google DeepMind</w:t>
      </w:r>
    </w:p>
    <w:p>
      <w:pPr>
        <w:spacing w:before="0" w:after="160" w:line="276" w:lineRule="auto"/>
      </w:pPr>
      <w:r>
        <w:rPr>
          <w:sz w:val="21"/>
        </w:rPr>
        <w:t>Closing the Agentic Launch Gap requires understanding adversary behavior well enough to anticipate it — that's the discipline I've built my career on, from the defensive side of the same problem.</w:t>
      </w:r>
    </w:p>
    <w:p>
      <w:pPr>
        <w:spacing w:before="0" w:after="160" w:line="276" w:lineRule="auto"/>
      </w:pPr>
      <w:r>
        <w:rPr>
          <w:sz w:val="21"/>
        </w:rPr>
        <w:t>I've created and maintained 2,300+ detection rules covering most of the MITRE ATT&amp;CK matrix, which means thinking in adversary TTPs every day: how an attacker chains techniques, what a novel technique looks like before it's been catalogued, and how to turn that understanding into something automated and repeatable. I've also shipped production GenAI tooling directly into security workflows — using LLMs to generate and convert detection content and to orchestrate SIEM APIs across nine different platforms — so I'm comfortable operating at the intersection of GenAI systems and security engineering, not just security engineering alone.</w:t>
      </w:r>
    </w:p>
    <w:p>
      <w:pPr>
        <w:spacing w:before="0" w:after="160" w:line="276" w:lineRule="auto"/>
      </w:pPr>
      <w:r>
        <w:rPr>
          <w:sz w:val="21"/>
        </w:rPr>
        <w:t>The engineering muscle behind that work — a Python-based automation framework running through a full CI/CD pipeline with automated testing and staged rollout — is exactly the kind of infrastructure needed to turn one-off findings into durable, reusable guardrails.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deep adversary-technique fluency, GenAI tooling experience, and production automation engineering could translate to the Agentic Red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