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July 28, 2026</w:t>
      </w:r>
    </w:p>
    <w:p>
      <w:pPr>
        <w:spacing w:before="0" w:after="160" w:line="276" w:lineRule="auto"/>
      </w:pPr>
      <w:r>
        <w:rPr>
          <w:sz w:val="21"/>
        </w:rPr>
        <w:t>Security Hiring Team</w:t>
        <w:br/>
        <w:t>Anthropic</w:t>
      </w:r>
    </w:p>
    <w:p>
      <w:pPr>
        <w:spacing w:before="0" w:after="160" w:line="276" w:lineRule="auto"/>
      </w:pPr>
      <w:r>
        <w:rPr>
          <w:sz w:val="21"/>
        </w:rPr>
        <w:t>Building the detections and playbooks that let a team catch what matters fast, and layering AI onto that work to catch it faster, is exactly the shape of my last decade in security engineering.</w:t>
      </w:r>
    </w:p>
    <w:p>
      <w:pPr>
        <w:spacing w:before="0" w:after="160" w:line="276" w:lineRule="auto"/>
      </w:pPr>
      <w:r>
        <w:rPr>
          <w:sz w:val="21"/>
        </w:rPr>
        <w:t>I currently direct sprint priorities and technical direction for the detection and alerting content a Treasury SOC runs its incident response against. Earlier, at Trend Micro/Cysiv, I architected a Python-based orchestration framework managing detection-rule lifecycle across nine SIEM and EDR platforms via their native APIs — including API-level token/role/permission management and multithreaded parallel deployment inside a full GitLab CI/CD pipeline — on top of which I created and maintain 2,300+ detection rules covering most of the MITRE ATT&amp;CK matrix.</w:t>
      </w:r>
    </w:p>
    <w:p>
      <w:pPr>
        <w:spacing w:before="0" w:after="160" w:line="276" w:lineRule="auto"/>
      </w:pPr>
      <w:r>
        <w:rPr>
          <w:sz w:val="21"/>
        </w:rPr>
        <w:t>I've also built production GenAI tooling that triages false positives, generates detection content, and converts rules between SIEM syntaxes automatically — the same direction of using LLMs to enhance detection, investigation, and response that this role is built to lead.</w:t>
      </w:r>
    </w:p>
    <w:p>
      <w:pPr>
        <w:spacing w:before="0" w:after="160" w:line="276" w:lineRule="auto"/>
      </w:pPr>
      <w:r>
        <w:rPr>
          <w:sz w:val="21"/>
        </w:rPr>
        <w:t>I'd welcome the chance to talk through how that combination of incident response leadership, multi-platform detection engineering, and LLM-driven tooling fits Anthropic's Detection &amp; Response work.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