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Security Hiring Team</w:t>
        <w:br/>
        <w:t>OpenAI</w:t>
      </w:r>
    </w:p>
    <w:p>
      <w:pPr>
        <w:spacing w:before="0" w:after="160" w:line="276" w:lineRule="auto"/>
      </w:pPr>
      <w:r>
        <w:rPr>
          <w:sz w:val="21"/>
        </w:rPr>
        <w:t>Spotting the anomaly that matters inside a sea of normal behavior — and proving it out fast — is the core skill I've built a career on, and it's the same instinct insider-risk investigations depend on.</w:t>
      </w:r>
    </w:p>
    <w:p>
      <w:pPr>
        <w:spacing w:before="0" w:after="160" w:line="276" w:lineRule="auto"/>
      </w:pPr>
      <w:r>
        <w:rPr>
          <w:sz w:val="21"/>
        </w:rPr>
        <w:t>At Trend Micro/Cysiv, I investigated anomalous entity behavior at scale for threat hunting and incident support: authentication-attempt anomalies by country and volume, parent/child process chains, and Outlook process-chain analysis — the same class of behavioral analytics that surfaces access abuse and unusual data movement. I built that analysis on top of a Python-based detection-as-code framework I architected across nine SIEM/EDR platforms, and created 2,300+ detection rules covering most of the MITRE ATT&amp;CK matrix.</w:t>
      </w:r>
    </w:p>
    <w:p>
      <w:pPr>
        <w:spacing w:before="0" w:after="160" w:line="276" w:lineRule="auto"/>
      </w:pPr>
      <w:r>
        <w:rPr>
          <w:sz w:val="21"/>
        </w:rPr>
        <w:t>I've also shipped production GenAI tooling for security automation — prompt engineering for triage and automated detection-content generation — cutting the manual work out of investigations, which is exactly the kind of AI-assisted leverage this role is chartered to bring to insider-threat work.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entity-behavior investigation, detection engineering, and AI-driven tooling fits OpenAI's insider-threat program.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