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28, 2026</w:t>
      </w:r>
    </w:p>
    <w:p>
      <w:pPr>
        <w:spacing w:before="0" w:after="160" w:line="276" w:lineRule="auto"/>
      </w:pPr>
      <w:r>
        <w:rPr>
          <w:sz w:val="21"/>
        </w:rPr>
        <w:t>Incident Command Hiring Team</w:t>
        <w:br/>
        <w:t>Uber</w:t>
      </w:r>
    </w:p>
    <w:p>
      <w:pPr>
        <w:spacing w:before="0" w:after="160" w:line="276" w:lineRule="auto"/>
      </w:pPr>
      <w:r>
        <w:rPr>
          <w:sz w:val="21"/>
        </w:rPr>
        <w:t>Getting to root cause fast, under pressure, with incomplete information is the daily reality of detection engineering work — and it's the same instinct this role is built around at a much larger scale.</w:t>
      </w:r>
    </w:p>
    <w:p>
      <w:pPr>
        <w:spacing w:before="0" w:after="160" w:line="276" w:lineRule="auto"/>
      </w:pPr>
      <w:r>
        <w:rPr>
          <w:sz w:val="21"/>
        </w:rPr>
        <w:t>I currently direct sprint priorities and technical direction for the detection and alerting content a Treasury SOC runs its incident response against, and built the entity-behavior analytics layer (UEBA) on top of a from-scratch security data platform for DOE/NNSA — purpose-built for proactive threat hunting. Earlier, at Trend Micro/Cysiv, I investigated anomalous entity behavior at scale for threat hunting and incident support: authentication anomalies by country and volume, parent/child process chains, and Outlook process-chain analysis, on top of 2,300+ detection rules I created and managed covering most of the MITRE ATT&amp;CK matrix.</w:t>
      </w:r>
    </w:p>
    <w:p>
      <w:pPr>
        <w:spacing w:before="0" w:after="160" w:line="276" w:lineRule="auto"/>
      </w:pPr>
      <w:r>
        <w:rPr>
          <w:sz w:val="21"/>
        </w:rPr>
        <w:t>I've also built production GenAI tooling for security automation — prompt engineering for triage and automated detection-rule generation — the same class of AI-assisted investigation and response tooling this role is chartered to mature.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combination of deep technical investigation, MITRE ATT&amp;CK-aligned detection engineering, and AI-driven tooling fits Uber's incident response program.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