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July 28, 2026</w:t>
      </w:r>
    </w:p>
    <w:p>
      <w:pPr>
        <w:spacing w:before="0" w:after="160" w:line="276" w:lineRule="auto"/>
      </w:pPr>
      <w:r>
        <w:rPr>
          <w:sz w:val="21"/>
        </w:rPr>
        <w:t>Enterprise Security Hiring Team</w:t>
        <w:br/>
        <w:t>Uber</w:t>
      </w:r>
    </w:p>
    <w:p>
      <w:pPr>
        <w:spacing w:before="0" w:after="160" w:line="276" w:lineRule="auto"/>
      </w:pPr>
      <w:r>
        <w:rPr>
          <w:sz w:val="21"/>
        </w:rPr>
        <w:t>Transforming enterprise defense from human-driven to AI-driven is exactly the direction I've built my last several years toward — moving from manual detection content and vulnerability triage to production GenAI tooling that automates both.</w:t>
      </w:r>
    </w:p>
    <w:p>
      <w:pPr>
        <w:spacing w:before="0" w:after="160" w:line="276" w:lineRule="auto"/>
      </w:pPr>
      <w:r>
        <w:rPr>
          <w:sz w:val="21"/>
        </w:rPr>
        <w:t>At Trend Micro/Cysiv, I architected a Python-based detection-as-code orchestration framework spanning nine SIEM/EDR platforms — including CrowdStrike, SentinelOne, and Google SecOps (Chronicle) — integrated via native APIs, with multithreading to deploy detection content across many customers in parallel inside a full GitLab CI/CD pipeline. Building that framework meant creating and managing API tokens, roles, and IAM permissions across all nine platforms, plus separate hands-on IAM policy and role implementation in both AWS and GCP.</w:t>
      </w:r>
    </w:p>
    <w:p>
      <w:pPr>
        <w:spacing w:before="0" w:after="160" w:line="276" w:lineRule="auto"/>
      </w:pPr>
      <w:r>
        <w:rPr>
          <w:sz w:val="21"/>
        </w:rPr>
        <w:t>On the vulnerability and endpoint side, I've ingested Tenable vulnerability scan data into analytics platforms and built detection content on top of it, and evaluated vulnerability exposure and security controls across production environments. I also built production GenAI tooling — prompt engineering for triage and automated detection-rule generation — and currently direct sprint priorities and technical direction for the Treasury SOC's detection team.</w:t>
      </w:r>
    </w:p>
    <w:p>
      <w:pPr>
        <w:spacing w:before="0" w:after="160" w:line="276" w:lineRule="auto"/>
      </w:pPr>
      <w:r>
        <w:rPr>
          <w:sz w:val="21"/>
        </w:rPr>
        <w:t>I'd welcome the chance to talk through how that combination of AI-driven automation, multi-platform security engineering, and hands-on IAM and vulnerability data work fits the Enterprise Security team's roadmap.</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