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Detection Response Team</w:t>
        <w:br/>
        <w:t>Vercel</w:t>
      </w:r>
    </w:p>
    <w:p>
      <w:pPr>
        <w:spacing w:before="0" w:after="160" w:line="276" w:lineRule="auto"/>
      </w:pPr>
      <w:r>
        <w:rPr>
          <w:sz w:val="21"/>
        </w:rPr>
        <w:t>Building the detections and visibility that let a security team act fast and stay ahead of anomalies — not just react to them — is the core discipline I've practiced across the last several SIEM-heavy detection engineering roles.</w:t>
      </w:r>
    </w:p>
    <w:p>
      <w:pPr>
        <w:spacing w:before="0" w:after="160" w:line="276" w:lineRule="auto"/>
      </w:pPr>
      <w:r>
        <w:rPr>
          <w:sz w:val="21"/>
        </w:rPr>
        <w:t>At Trend Micro/Cysiv, I built and ran SIEM detection-as-code across nine platforms, including CrowdStrike and SentinelOne, delivered through a full GitLab CI/CD pipeline, and created and managed 2,300+ detection rules covering most of the MITRE ATT&amp;CK matrix. I used SQL and Python daily for security data analysis and investigation, and I've built GenAI-powered automation to strengthen detection coverage without adding headcount — the same enhance-and-scale approach this role calls for.</w:t>
      </w:r>
    </w:p>
    <w:p>
      <w:pPr>
        <w:spacing w:before="0" w:after="160" w:line="276" w:lineRule="auto"/>
      </w:pPr>
      <w:r>
        <w:rPr>
          <w:sz w:val="21"/>
        </w:rPr>
        <w:t>Currently at Shorepoint, I own the Splunk-based detection and alerting content that drives Treasury's SOC incident response, and I previously built an entire security data platform for DOE/NNSA — from raw log ingestion through a full UEBA detection layer. That end-to-end ownership, from visibility gaps to shipped detections to incident response, is exactly the loop this role runs.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detection and SIEM background fits Vercel's Detection Response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