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sz w:val="20"/>
        </w:rPr>
        <w:t>July 28, 2026</w:t>
      </w:r>
    </w:p>
    <w:p>
      <w:pPr>
        <w:spacing w:before="0" w:after="160" w:line="276" w:lineRule="auto"/>
      </w:pPr>
      <w:r>
        <w:rPr>
          <w:sz w:val="21"/>
        </w:rPr>
        <w:t>Detection Response Hiring Team</w:t>
        <w:br/>
        <w:t>Vercel</w:t>
      </w:r>
    </w:p>
    <w:p>
      <w:pPr>
        <w:spacing w:before="0" w:after="160" w:line="276" w:lineRule="auto"/>
      </w:pPr>
      <w:r>
        <w:rPr>
          <w:sz w:val="21"/>
        </w:rPr>
        <w:t>Keeping security visibility and logging infrastructure trustworthy — so alerts mean something when they fire — is work I've done across federal and commercial SOCs for the past decade.</w:t>
      </w:r>
    </w:p>
    <w:p>
      <w:pPr>
        <w:spacing w:before="0" w:after="160" w:line="276" w:lineRule="auto"/>
      </w:pPr>
      <w:r>
        <w:rPr>
          <w:sz w:val="21"/>
        </w:rPr>
        <w:t>At Trend Micro/Cysiv, I built detection-as-code orchestration across nine SIEM and EDR platforms, including CrowdStrike and SentinelOne, through their native APIs, run through a full GitLab CI/CD pipeline, and created and managed 2,300+ detection rules covering most of the MITRE ATT&amp;CK matrix. I also built the telemetry layer itself: 50+ parsing/normalization filters across 220+ log sources, keeping signal quality high enough to act on.</w:t>
      </w:r>
    </w:p>
    <w:p>
      <w:pPr>
        <w:spacing w:before="0" w:after="160" w:line="276" w:lineRule="auto"/>
      </w:pPr>
      <w:r>
        <w:rPr>
          <w:sz w:val="21"/>
        </w:rPr>
        <w:t>Currently at Shorepoint, I own the detection and alerting content Treasury's SOC runs incident response against, working hands-on with AWS cloud security and endpoint telemetry to support live investigations and harden internal security posture.</w:t>
      </w:r>
    </w:p>
    <w:p>
      <w:pPr>
        <w:spacing w:before="0" w:after="160" w:line="276" w:lineRule="auto"/>
      </w:pPr>
      <w:r>
        <w:rPr>
          <w:sz w:val="21"/>
        </w:rPr>
        <w:t>I'd welcome the chance to talk through how that background fits Vercel's CorpSec and detection roadmap.</w:t>
      </w:r>
    </w:p>
    <w:p>
      <w:pPr>
        <w:spacing w:before="0" w:after="0" w:line="276" w:lineRule="auto"/>
      </w:pPr>
      <w:r>
        <w:rPr>
          <w:sz w:val="21"/>
        </w:rPr>
        <w:t>Kyle Main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