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27, 2026</w:t>
      </w:r>
    </w:p>
    <w:p>
      <w:pPr>
        <w:spacing w:before="0" w:after="160" w:line="276" w:lineRule="auto"/>
      </w:pPr>
      <w:r>
        <w:rPr>
          <w:sz w:val="21"/>
        </w:rPr>
        <w:t>Detection &amp; Response Hiring Team</w:t>
        <w:br/>
        <w:t>HackerOne</w:t>
      </w:r>
    </w:p>
    <w:p>
      <w:pPr>
        <w:spacing w:before="0" w:after="160" w:line="276" w:lineRule="auto"/>
      </w:pPr>
      <w:r>
        <w:rPr>
          <w:sz w:val="21"/>
        </w:rPr>
        <w:t>Rebuilding detection and response as an engineering discipline rather than a triage queue is precisely the model I've operated in for the last several years — building the pipeline and the automation, not just watching the alerts.</w:t>
      </w:r>
    </w:p>
    <w:p>
      <w:pPr>
        <w:spacing w:before="0" w:after="160" w:line="276" w:lineRule="auto"/>
      </w:pPr>
      <w:r>
        <w:rPr>
          <w:sz w:val="21"/>
        </w:rPr>
        <w:t>At Trend Micro/Cysiv, I built detection-as-code orchestration across nine SIEM and EDR platforms — including CrowdStrike and SentinelOne — through their native APIs, running the whole system through a GitLab CI/CD pipeline. I paired that with GenAI-powered tooling: prompt engineering to identify false positives and generate new detection logic, and reusable GenAI "skills" that automate cross-platform rule conversion for other detection engineers — the same AI-powered, capacity-scaling model HackerOne is describing for this role.</w:t>
      </w:r>
    </w:p>
    <w:p>
      <w:pPr>
        <w:spacing w:before="0" w:after="160" w:line="276" w:lineRule="auto"/>
      </w:pPr>
      <w:r>
        <w:rPr>
          <w:sz w:val="21"/>
        </w:rPr>
        <w:t>Currently at Shorepoint, I own the detection and alerting content that Treasury's SOC runs incident response against, and I built an entire security data platform for DOE/NNSA from raw log ingestion (CrowdStrike, Suricata, Zeek) through a full UEBA detection layer — the same "find the observability gap, ship the high-signal detection" lifecycle this role centers on.</w:t>
      </w:r>
    </w:p>
    <w:p>
      <w:pPr>
        <w:spacing w:before="0" w:after="160" w:line="276" w:lineRule="auto"/>
      </w:pPr>
      <w:r>
        <w:rPr>
          <w:sz w:val="21"/>
        </w:rPr>
        <w:t>One honest note: my core language is Python rather than Go or Ruby, and my production-codebase experience lives inside detection/data pipelines rather than general application backends — but the discipline of shipping and maintaining code other engineers depend on is the same.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fits the team's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