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31, 2026</w:t>
      </w:r>
    </w:p>
    <w:p>
      <w:pPr>
        <w:spacing w:before="0" w:after="160" w:line="276" w:lineRule="auto"/>
      </w:pPr>
      <w:r>
        <w:rPr>
          <w:sz w:val="21"/>
        </w:rPr>
        <w:t>Cyber Security Hiring Team</w:t>
        <w:br/>
        <w:t>Rackspace Technology</w:t>
      </w:r>
    </w:p>
    <w:p>
      <w:pPr>
        <w:spacing w:before="0" w:after="160" w:line="276" w:lineRule="auto"/>
      </w:pPr>
      <w:r>
        <w:rPr>
          <w:sz w:val="21"/>
        </w:rPr>
        <w:t>Standing up a new observability and vulnerability management team means proving the tooling actually works — that telemetry is complete, controls are tuned, and coverage is measurable — before it means anything else. That's the exact work I've done as a founding engineer building a next-gen SIEM from scratch and later architecting a detection-as-code orchestration framework across nine SIEM and EDR platforms, with automated testing, staged rollout, and formal coverage and false-positive-rate tracking built in from day one.</w:t>
      </w:r>
    </w:p>
    <w:p>
      <w:pPr>
        <w:spacing w:before="0" w:after="160" w:line="276" w:lineRule="auto"/>
      </w:pPr>
      <w:r>
        <w:rPr>
          <w:sz w:val="21"/>
        </w:rPr>
        <w:t>That build includes native-API detection and tooling ownership across Splunk, Microsoft Sentinel, CrowdStrike, SentinelOne, Elasticsearch, and Google SecOps, plus vulnerability data engineering — ingesting Tenable scan data into analytics platforms and building exposure-analysis content on top of it, rather than just administering the scanner. I've directed delivery in a technical team-lead and sprint-lead capacity throughout, driving the testing and rollout discipline a new security tooling team needs to earn trust fast.</w:t>
      </w:r>
    </w:p>
    <w:p>
      <w:pPr>
        <w:spacing w:before="0" w:after="160" w:line="276" w:lineRule="auto"/>
      </w:pPr>
      <w:r>
        <w:rPr>
          <w:sz w:val="21"/>
        </w:rPr>
        <w:t>I'd welcome the chance to bring that security tooling, detection engineering, and vulnerability management depth to Rackspace's new observability and vulnerability management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