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31, 2026</w:t>
      </w:r>
    </w:p>
    <w:p>
      <w:pPr>
        <w:spacing w:before="0" w:after="160" w:line="276" w:lineRule="auto"/>
      </w:pPr>
      <w:r>
        <w:rPr>
          <w:sz w:val="21"/>
        </w:rPr>
        <w:t>Hiring Team</w:t>
        <w:br/>
        <w:t>Reco</w:t>
      </w:r>
    </w:p>
    <w:p>
      <w:pPr>
        <w:spacing w:before="0" w:after="160" w:line="276" w:lineRule="auto"/>
      </w:pPr>
      <w:r>
        <w:rPr>
          <w:sz w:val="21"/>
        </w:rPr>
        <w:t>Detecting identity-based threats across a sprawling set of SaaS applications is fundamentally a data correlation and false-positive-reduction problem — the exact discipline I've spent 11 years on. As a founding engineer at Cysiv (later acquired by Trend Micro/Forescout), I built the data pipelines and detection rules engine for a next-gen cloud SIEM from scratch: 220+ heterogeneous log sources correlated through a homegrown Common Information Model, and 2,300+ detection rules across the MITRE ATT&amp;CK matrix, all built with false-positive-rate tracking as a first-class requirement rather than an afterthought.</w:t>
      </w:r>
    </w:p>
    <w:p>
      <w:pPr>
        <w:spacing w:before="0" w:after="160" w:line="276" w:lineRule="auto"/>
      </w:pPr>
      <w:r>
        <w:rPr>
          <w:sz w:val="21"/>
        </w:rPr>
        <w:t>That same correlation discipline extends directly to identity: I've built time-series anomaly detection for authentication behaviors — auth attempts by country over time, anomalous volume/attempt patterns — the same shape of problem as flagging OAuth risk or identity-provider misconfigurations in a SaaS environment. I later architected a detection-as-code orchestration framework spanning nine SIEM/XDR platforms, including Microsoft Sentinel and Google SecOps (Chronicle), with automated testing and staged rollout built into every deployment.</w:t>
      </w:r>
    </w:p>
    <w:p>
      <w:pPr>
        <w:spacing w:before="0" w:after="160" w:line="276" w:lineRule="auto"/>
      </w:pPr>
      <w:r>
        <w:rPr>
          <w:sz w:val="21"/>
        </w:rPr>
        <w:t>I'd welcome the opportunity to bring that large-scale security data analysis and detection engineering background to Reco's threat detection team.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