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1, 2026</w:t>
      </w:r>
    </w:p>
    <w:p>
      <w:pPr>
        <w:spacing w:before="0" w:after="160" w:line="276" w:lineRule="auto"/>
      </w:pPr>
      <w:r>
        <w:rPr>
          <w:sz w:val="21"/>
        </w:rPr>
        <w:t>Information Security Team</w:t>
        <w:br/>
        <w:t>Cribl</w:t>
      </w:r>
    </w:p>
    <w:p>
      <w:pPr>
        <w:spacing w:before="0" w:after="160" w:line="276" w:lineRule="auto"/>
      </w:pPr>
      <w:r>
        <w:rPr>
          <w:sz w:val="21"/>
        </w:rPr>
        <w:t>I've built and managed Cribl pipelines directly — hands-on, real experience with the exact product your security stack runs on, not just adjacent data-engineering work. Combined with 12 years of detection engineering and SOC incident response, I'd bring both a user's fluency with Cribl and the security operations depth this Staff role needs.</w:t>
      </w:r>
    </w:p>
    <w:p>
      <w:pPr>
        <w:spacing w:before="0" w:after="160" w:line="276" w:lineRule="auto"/>
      </w:pPr>
      <w:r>
        <w:rPr>
          <w:sz w:val="21"/>
        </w:rPr>
        <w:t>At Trend Micro/Cysiv, I built a next-gen SIEM's rules engine from the ground up, creating and managing 2,300+ detection rules covering most of the MITRE ATT&amp;CK matrix, then extended that into a Python-based detection-as-code framework orchestrating rule deployment across nine SIEM and EDR platforms — Microsoft Sentinel, Microsoft Defender, Google SecOps, Splunk, CrowdStrike, SentinelOne, Sumo Logic, Palo Alto XSIAM, and Devo — via native APIs, with multithreaded parallel deployment, full GitLab CI/CD, automated testing, and staged rollout tracked against coverage and false-positive metrics. I've also integrated threat intelligence directly into that detection logic, using indicators and TTPs from commercial feeds, OSINT, and in-house research to tune rules and enrich alerts for faster triage.</w:t>
      </w:r>
    </w:p>
    <w:p>
      <w:pPr>
        <w:spacing w:before="0" w:after="160" w:line="276" w:lineRule="auto"/>
      </w:pPr>
      <w:r>
        <w:rPr>
          <w:sz w:val="21"/>
        </w:rPr>
        <w:t>More recently, at DOE/NNSA I built a security data platform from scratch — ingesting CrowdStrike, Suricata, and Zeek into Elasticsearch and layering a UEBA detection capability, dashboards, and data-quality monitoring on top — and I currently lead the detection and alerting content a live Treasury SOC runs its incident investigations against as part of its Threat &amp; Research team. That combination of building the data pipeline, writing the detection logic, and supporting the incident response that follows is exactly the loop this role owns.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this background fits the Staff Security Operations Engineer role.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