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1, 2026</w:t>
      </w:r>
    </w:p>
    <w:p>
      <w:pPr>
        <w:spacing w:before="0" w:after="160" w:line="276" w:lineRule="auto"/>
      </w:pPr>
      <w:r>
        <w:rPr>
          <w:sz w:val="21"/>
        </w:rPr>
        <w:t>Data Engineering Hiring Team</w:t>
        <w:br/>
        <w:t>TRM Labs</w:t>
      </w:r>
    </w:p>
    <w:p>
      <w:pPr>
        <w:spacing w:before="0" w:after="160" w:line="276" w:lineRule="auto"/>
      </w:pPr>
      <w:r>
        <w:rPr>
          <w:sz w:val="21"/>
        </w:rPr>
        <w:t>A lakehouse is only as trustworthy as the metadata and schema discipline underneath it. That's the exact problem I solved as an early hire at a fast-growing security data platform: I built the data engineering layer for 220+ distinct, messy sources from the ground up, including a Common Information Model that standardized field names and types across every one of them — giving every downstream consumer one consistent schema to build on instead of 220 different ones.</w:t>
      </w:r>
    </w:p>
    <w:p>
      <w:pPr>
        <w:spacing w:before="0" w:after="160" w:line="276" w:lineRule="auto"/>
      </w:pPr>
      <w:r>
        <w:rPr>
          <w:sz w:val="21"/>
        </w:rPr>
        <w:t>That ground-up ownership carries directly into the stack this role runs on. I've built and operated production pipelines on GCP end to end — Dataproc compute clusters for large-scale exploratory analysis, PySpark/SparkSQL for distributed processing, GCP Dataflow (via a homegrown Apache Beam program) for high-volume historical and cold-storage retrieval, and GCP serverless functions for event-driven enrichment. I've also worked with Kafka, and I run every pipeline change through a full CI/CD process with staged rollout and data-quality monitoring before it hits production — the same operational discipline a petabyte-scale lakehouse demands.</w:t>
      </w:r>
    </w:p>
    <w:p>
      <w:pPr>
        <w:spacing w:before="0" w:after="160" w:line="276" w:lineRule="auto"/>
      </w:pPr>
      <w:r>
        <w:rPr>
          <w:sz w:val="21"/>
        </w:rPr>
        <w:t>I'd welcome the chance to bring that pipeline-ownership and metadata-management background to TRM Labs as you scale the lakehouse architecture powering your analytics platform.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