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2,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Abnormal Security</w:t>
      </w:r>
    </w:p>
    <w:p>
      <w:pPr>
        <w:spacing w:before="0" w:after="160" w:line="276" w:lineRule="auto"/>
      </w:pPr>
      <w:r>
        <w:rPr>
          <w:sz w:val="21"/>
        </w:rPr>
        <w:t>I've spent the last several years operating inside the kind of regulated, high-scrutiny environments Abnormal Gov needs to keep FedRAMP-compliant — with active Top Secret (Treasury), DOE Q, and Public Trust (DOE) clearances earned through direct work on federal security programs, not just adjacent exposure to them.</w:t>
      </w:r>
    </w:p>
    <w:p>
      <w:pPr>
        <w:spacing w:before="0" w:after="160" w:line="276" w:lineRule="auto"/>
      </w:pPr>
      <w:r>
        <w:rPr>
          <w:sz w:val="21"/>
        </w:rPr>
        <w:t>At Shorepoint, I've worked three sequential federal security engagements that map directly onto this role's scope. I currently create and manage the detection and alerting analytics (Splunk saved searches) that support Treasury's Security Operations Center through live incident response and case work — the same logging-and-monitoring-pipeline ownership this role calls for. Before that, I built DOE/NNSA's entire Security Data Integration platform from scratch: ingesting CrowdStrike, Suricata, and Zeek telemetry into a new Elasticsearch environment, then layering UEBA detection, data-quality monitoring and alerting, and custom dashboards on top of it. And prior to that, I supported data ingestion and data-quality efforts for DOE's Continuous Diagnostics and Mitigation (CDM) program in an Elasticsearch/Splunk environment — the same continuous-monitoring discipline FedRAMP's ConMon requirements are built around.</w:t>
      </w:r>
    </w:p>
    <w:p>
      <w:pPr>
        <w:spacing w:before="0" w:after="160" w:line="276" w:lineRule="auto"/>
      </w:pPr>
      <w:r>
        <w:rPr>
          <w:sz w:val="21"/>
        </w:rPr>
        <w:t>Beyond the federal-environment specifics, I've built and run a multi-SIEM detection-as-code CI/CD pipeline in GitLab — orchestrating rule and content deployment across Splunk, Microsoft Sentinel, Microsoft Defender, Google SecOps, CrowdStrike, SentinelOne, and more via their native APIs, with automated testing, staged/safe rollout, and rule-quality metrics tracked before anything reaches production. That includes hands-on creation and governance of API tokens, roles, and permissions across those platforms — the same access-management discipline this role's RBAC and account-provisioning responsibilities require — plus Cloud IAM policy work in both AWS and GCP.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keeping Abnormal Gov's environment secure, resilient, and audit-ready.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