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3, 2026</w:t>
      </w:r>
    </w:p>
    <w:p>
      <w:pPr>
        <w:spacing w:before="0" w:after="160" w:line="276" w:lineRule="auto"/>
      </w:pPr>
      <w:r>
        <w:rPr>
          <w:sz w:val="21"/>
        </w:rPr>
        <w:t>Hiring Team</w:t>
        <w:br/>
        <w:t>Anthropic — Safeguards</w:t>
      </w:r>
    </w:p>
    <w:p>
      <w:pPr>
        <w:spacing w:before="0" w:after="160" w:line="276" w:lineRule="auto"/>
      </w:pPr>
      <w:r>
        <w:rPr>
          <w:sz w:val="21"/>
        </w:rPr>
        <w:t>Robust data infrastructure is the thing that makes safety work possible at scale, and building that infrastructure is what I've spent 12 years doing — most recently underneath detection and abuse-monitoring systems that had to be right, fast, and auditable. I'd like to bring that same foundation to the Safeguards team's data pipelines, warehousing, and analytical tooling.</w:t>
      </w:r>
    </w:p>
    <w:p>
      <w:pPr>
        <w:spacing w:before="0" w:after="160" w:line="276" w:lineRule="auto"/>
      </w:pPr>
      <w:r>
        <w:rPr>
          <w:sz w:val="21"/>
        </w:rPr>
        <w:t>At Trend Micro/Cysiv, I owned the data engineering for a next-gen cloud SIEM from its earliest days as a startup — ETL/ELT pipelines for 220+ ingested log sources, 50+ Logstash parsing/normalization filters, and a Common Information Model that standardized field names and types across every source so downstream detection and analytics could trust the data. I built a homegrown Apache Beam program run via GCP Dataflow to retrieve large volumes of historical cold-storage data on demand, and ran exploratory data analysis at scale on GCP Dataproc clusters using PySpark and SparkSQL. On top of that foundation, I created and managed 2,300+ detection rules spanning most of the MITRE ATT&amp;CK matrix — signature, statistical, behavioral, and ML-based logic — and integrated threat intelligence directly into that detection content and alert enrichment workflow, the same kind of abuse-pattern-detection work this role's data needs to support.</w:t>
      </w:r>
    </w:p>
    <w:p>
      <w:pPr>
        <w:spacing w:before="0" w:after="160" w:line="276" w:lineRule="auto"/>
      </w:pPr>
      <w:r>
        <w:rPr>
          <w:sz w:val="21"/>
        </w:rPr>
        <w:t>At Shorepoint, I built DOE/NNSA's security data integration platform from scratch — ingesting CrowdStrike, Suricata, and Zeek telemetry into a new Elasticsearch environment, then layering a UEBA detection model, data-quality monitoring and alerting, and custom Kibana dashboards on top so stakeholders could see model behavior and anomalies without needing to query the raw data themselves. That combination — pipeline ownership, data modeling, dashboarding, and detection content built on a foundation of Python, SQL, and cloud data platforms (BigQuery, Dataproc, Dataflow) — is exactly the range this Safeguards role asks for.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background applies to giving Anthropic's Safeguards team the data foundation it needs to detect misuse and keep model behavior safe at scale.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