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Threat Intelligence Engineer — Detection Infrastructure, Multi-Source Intel Integration &amp; GenAI Tooling</w:t>
      </w:r>
    </w:p>
    <w:p>
      <w:pPr>
        <w:spacing w:before="0" w:after="80" w:line="240" w:lineRule="auto"/>
      </w:pPr>
      <w:r>
        <w:rPr>
          <w:sz w:val="20"/>
        </w:rPr>
        <w:t>Security engineer with 12 years building the detection infrastructure and multi-source data integrations that turn threat intelligence into automated detection and hunting capability — integrating CTI directly into detection rule logic and alert enrichment, building automated detection systems via native API integrations across nine external platforms, and applying GenAI/LLM tooling to generate detection content.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SECURITY CLEARANCE</w:t>
      </w:r>
    </w:p>
    <w:p>
      <w:pPr>
        <w:spacing w:before="0" w:after="40" w:line="240" w:lineRule="auto"/>
      </w:pPr>
      <w:r>
        <w:rPr>
          <w:b/>
          <w:i w:val="0"/>
          <w:sz w:val="20"/>
        </w:rPr>
        <w:t>Top Secret — current, sponsored by U.S. Treasury  |  DOE Q Clearance — held  |  Public Trust — held, sponsored by DOE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Threat Intelligence Integration: </w:t>
      </w:r>
      <w:r>
        <w:rPr>
          <w:sz w:val="19"/>
        </w:rPr>
        <w:t>Integrating CTI (indicators, TTPs, actor/campaign context) directly into detection rule logic and alert enrichment; own-research use of threat intel for false-positive analysis; direct exposure to Vedere Labs (Forescout's in-house threat research team) as a CTI source</w:t>
      </w:r>
    </w:p>
    <w:p>
      <w:pPr>
        <w:spacing w:before="0" w:after="40" w:line="240" w:lineRule="auto"/>
      </w:pPr>
      <w:r>
        <w:rPr>
          <w:b/>
          <w:sz w:val="19"/>
        </w:rPr>
        <w:t xml:space="preserve">GenAI/LLM for Security Automation: </w:t>
      </w:r>
      <w:r>
        <w:rPr>
          <w:sz w:val="19"/>
        </w:rPr>
        <w:t>Prompt engineering to analyze security data, identify false positives, and generate detection content; using GenAI to interact with SIEM APIs for content orchestration; built reusable GenAI-powered "skills" for cross-SIEM rule syntax conversion</w:t>
      </w:r>
    </w:p>
    <w:p>
      <w:pPr>
        <w:spacing w:before="0" w:after="40" w:line="240" w:lineRule="auto"/>
      </w:pPr>
      <w:r>
        <w:rPr>
          <w:b/>
          <w:sz w:val="19"/>
        </w:rPr>
        <w:t xml:space="preserve">Automated Detection Systems &amp; Multi-Platform API Integration: </w:t>
      </w:r>
      <w:r>
        <w:rPr>
          <w:sz w:val="19"/>
        </w:rPr>
        <w:t>Python-based orchestration framework integrating nine external SIEM/EDR platforms via native APIs (Sentinel, Defender, Chronicle, Splunk, CrowdStrike, SentinelOne, Sumo Logic, XSIAM, Devo) — reusable adapters, API token/role governance, multithreaded deployment, GitLab CI/CD with automated tests and staged rollout</w:t>
      </w:r>
    </w:p>
    <w:p>
      <w:pPr>
        <w:spacing w:before="0" w:after="40" w:line="240" w:lineRule="auto"/>
      </w:pPr>
      <w:r>
        <w:rPr>
          <w:b/>
          <w:sz w:val="19"/>
        </w:rPr>
        <w:t xml:space="preserve">Behavioral Analytics &amp; Detection Content: </w:t>
      </w:r>
      <w:r>
        <w:rPr>
          <w:sz w:val="19"/>
        </w:rPr>
        <w:t>UEBA detection layer on Elasticsearch transforms; time-series anomaly detection; signature/statistical/behavioral/ML-based detection rules across most of MITRE ATT&amp;CK (2,300+ rules); investigator feedback loops to tune detection and reduce false positives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 &amp; Pipelines: </w:t>
      </w:r>
      <w:r>
        <w:rPr>
          <w:sz w:val="19"/>
        </w:rPr>
        <w:t>Python, SQL; 220+ ingested log sources (Logstash, Elasticsearch Beats, Common Information Model); PySpark/GCP Dataproc; Apache Beam/GCP Dataflow for historical retrieval; Elasticsearch queries, transforms, and API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create and manage detection/alerting analytics (Splunk saved searches) directly supporting Treasury's Security Operations Center — establishing feedback loops with SOC investigators to tune detection logic and reduce false positives (Treasury SOC / TSSOC, current project).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security data ingestion and behavioral-analytics platform for DOE/NNSA from the ground up — CrowdStrike, Suricata, and Zeek telemetry into a central Elasticsearch environment, with a UEBA detection layer, data-quality monitoring/alerting, and custom dashboards (DOE/NNSA Security Data Integration, completed). Earlier, supported data ingestion/quality for DOE's Continuous Diagnostics and Mitigation program in the same Elasticsearch/Splunk environment (CISA CDM at DOE, completed).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detection engineering team building signature, statistical, behavioral, and ML-based detection content against massive-scale customer telemetry; incorporated threat intelligence from Vedere Labs, Forescout's in-house threat research team, into detection tuning and alert enrichment.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 Python-based detection-as-code orchestration framework integrating nine SIEM/EDR platforms via native APIs — reusable adapters, API token/role governance, and multithreaded parallel deployment inside a GitLab CI/CD pipeline — then layered production GenAI tooling on top for detection-content generation and cross-platform rule conversion.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Very early hire — built the rules engine and detection content for the startup from scratch: 2,300+ detection rules covering most of the MITRE ATT&amp;CK matrix, plus data engineering for 220+ log sources (Logstash, Elasticsearch Beats, Common Information Model) and PySpark/Dataproc EDA at scale.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log data to build DNS-based malware detection/mitigation models and surface anomalous behavior — early foundation translating raw signal into automated detection logic.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 Data Science coursework</w:t>
      </w:r>
    </w:p>
    <w:sectPr w:rsidR="00FC693F" w:rsidRPr="0006063C" w:rsidSect="00034616">
      <w:pgSz w:w="12240" w:h="15840"/>
      <w:pgMar w:top="504" w:right="864" w:bottom="50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