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August 3, 2026</w:t>
      </w:r>
    </w:p>
    <w:p>
      <w:pPr>
        <w:spacing w:before="0" w:after="160" w:line="276" w:lineRule="auto"/>
      </w:pPr>
      <w:r>
        <w:rPr>
          <w:sz w:val="21"/>
        </w:rPr>
        <w:t>Data Science Platform Engineering Team</w:t>
        <w:br/>
        <w:t>CrowdStrike</w:t>
      </w:r>
    </w:p>
    <w:p>
      <w:pPr>
        <w:spacing w:before="0" w:after="160" w:line="276" w:lineRule="auto"/>
      </w:pPr>
      <w:r>
        <w:rPr>
          <w:sz w:val="21"/>
        </w:rPr>
        <w:t>Before applying to help build data infrastructure for CrowdStrike's AI-driven security products, I built a security data platform that ingested CrowdStrike telemetry itself — a ground-up Elasticsearch-based ingestion and detection platform I built from scratch for a DOE/NNSA security program, pulling in CrowdStrike, Suricata, and Zeek data streams, then layering UEBA detection, data-quality monitoring, and custom dashboards on top of it.</w:t>
      </w:r>
    </w:p>
    <w:p>
      <w:pPr>
        <w:spacing w:before="0" w:after="160" w:line="276" w:lineRule="auto"/>
      </w:pPr>
      <w:r>
        <w:rPr>
          <w:sz w:val="21"/>
        </w:rPr>
        <w:t>That ground-up ownership runs through my whole career. I built the data engineering layer for 220+ heterogeneous log sources at a fast-growing security data company, including a Common Information Model that standardized schema and field types across every one of them — the same semantic-cataloging discipline large-scale AI/ML data platforms depend on. I've run large-scale distributed processing on GCP (Dataproc, PySpark/SparkSQL, BigQuery, Dataflow via a homegrown Apache Beam program), and I run every pipeline change through a full CI/CD process — a GitLab-based pipeline with automated testing, staged/safe rollout, and quality-metrics tracking before anything reaches production.</w:t>
      </w:r>
    </w:p>
    <w:p>
      <w:pPr>
        <w:spacing w:before="0" w:after="160" w:line="276" w:lineRule="auto"/>
      </w:pPr>
      <w:r>
        <w:rPr>
          <w:sz w:val="21"/>
        </w:rPr>
        <w:t>On the AI side, I've put GenAI directly into production security workflows: prompt engineering for detection-content generation and false-positive triage, and GenAI-driven orchestration of SIEM APIs across multiple platforms — real, hands-on experience shipping LLM-powered tooling into live operational use, which I'm eager to build on at the scale and depth this role calls for.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combination — ground-up data pipeline ownership, CI/CD discipline, and hands-on GenAI tooling experience — applies to building CrowdStrike's next generation of AI-driven security data infrastructure.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