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pPr>
      <w:r>
        <w:rPr>
          <w:b/>
          <w:color w:val="2C3E50"/>
          <w:sz w:val="40"/>
        </w:rPr>
        <w:t>Kyle Main</w:t>
      </w:r>
    </w:p>
    <w:p>
      <w:pPr>
        <w:spacing w:before="0" w:after="160" w:line="240" w:lineRule="auto"/>
      </w:pPr>
      <w:r>
        <w:rPr>
          <w:sz w:val="19"/>
        </w:rPr>
        <w:t>Dallas/Ft. Worth Area  |  469-545-3791  |  main.kyle87@gmail.com</w:t>
      </w:r>
    </w:p>
    <w:p>
      <w:pPr>
        <w:spacing w:before="0" w:after="160" w:line="240" w:lineRule="auto"/>
      </w:pPr>
      <w:r>
        <w:rPr>
          <w:sz w:val="20"/>
        </w:rPr>
        <w:t>August 3, 2026</w:t>
      </w:r>
    </w:p>
    <w:p>
      <w:pPr>
        <w:spacing w:before="0" w:after="160" w:line="276" w:lineRule="auto"/>
      </w:pPr>
      <w:r>
        <w:rPr>
          <w:sz w:val="21"/>
        </w:rPr>
        <w:t>Hiring Team</w:t>
        <w:br/>
        <w:t>Grow Therapy</w:t>
      </w:r>
    </w:p>
    <w:p>
      <w:pPr>
        <w:spacing w:before="0" w:after="160" w:line="276" w:lineRule="auto"/>
      </w:pPr>
      <w:r>
        <w:rPr>
          <w:sz w:val="21"/>
        </w:rPr>
        <w:t>Grow Therapy's Senior Security Engineer role is fundamentally about making data classification, governance, and access control executable rather than aspirational — building the pipelines and standards that let every other system act on data sensitivity automatically. That's the exact problem I spent four years solving as an early hire building a cloud SIEM startup's data infrastructure from scratch.</w:t>
      </w:r>
    </w:p>
    <w:p>
      <w:pPr>
        <w:spacing w:before="0" w:after="160" w:line="276" w:lineRule="auto"/>
      </w:pPr>
      <w:r>
        <w:rPr>
          <w:sz w:val="21"/>
        </w:rPr>
        <w:t>At Trend Micro/Cysiv, I designed and built a Common Information Model — a data dictionary standardizing field names and types across 220+ heterogeneous log sources — so every downstream system in our next-gen SIEM could consume incoming data through one consistent, executable schema instead of guessing at it source by source. I owned that pipeline end to end: 50+ Logstash filters for parsing and normalization, multiple Elasticsearch Beats variants for collection, and a homegrown Apache Beam program on GCP Dataflow for large-scale historical data retrieval. That's the same discipline this role calls for — production code, real data pipelines, and a schema that the rest of the company can build on top of.</w:t>
      </w:r>
    </w:p>
    <w:p>
      <w:pPr>
        <w:spacing w:before="0" w:after="160" w:line="276" w:lineRule="auto"/>
      </w:pPr>
      <w:r>
        <w:rPr>
          <w:sz w:val="21"/>
        </w:rPr>
        <w:t>More recently at Shorepoint, I built DOE/NNSA's entire security data ingestion platform from a blank canvas — CrowdStrike, Suricata, and Zeek telemetry into a new Elasticsearch environment, with data-quality monitoring and alerting layered on top to keep the pipeline trustworthy over time. Alongside that, I've implemented Cloud IAM policies and roles in both AWS and GCP, and created and governed API tokens, roles, and permissions across a dozen-plus platforms as part of a production access-management framework — the same access-governance instinct this role's secure-data-access requirement is built around.</w:t>
      </w:r>
    </w:p>
    <w:p>
      <w:pPr>
        <w:spacing w:before="0" w:after="160" w:line="276" w:lineRule="auto"/>
      </w:pPr>
      <w:r>
        <w:rPr>
          <w:sz w:val="21"/>
        </w:rPr>
        <w:t>I'd welcome the chance to talk through how that data-infrastructure background applies to making the secure path the default one at Grow Therapy.</w:t>
      </w:r>
    </w:p>
    <w:p>
      <w:pPr>
        <w:spacing w:before="0" w:after="0" w:line="276" w:lineRule="auto"/>
      </w:pPr>
      <w:r>
        <w:rPr>
          <w:sz w:val="21"/>
        </w:rPr>
        <w:t>Kyle Main</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